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3528A" w14:textId="599AFA53"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AA0854">
        <w:t>100</w:t>
      </w:r>
      <w:r w:rsidR="009B25D1">
        <w:t>-e</w:t>
      </w:r>
      <w:r w:rsidRPr="00CE0424">
        <w:tab/>
      </w:r>
      <w:r w:rsidR="00091557" w:rsidRPr="00CE0424">
        <w:rPr>
          <w:sz w:val="32"/>
          <w:szCs w:val="32"/>
        </w:rPr>
        <w:t>R</w:t>
      </w:r>
      <w:r w:rsidR="008F1C4E">
        <w:rPr>
          <w:sz w:val="32"/>
          <w:szCs w:val="32"/>
        </w:rPr>
        <w:t>1</w:t>
      </w:r>
      <w:r w:rsidR="00091557" w:rsidRPr="00CE0424">
        <w:rPr>
          <w:sz w:val="32"/>
          <w:szCs w:val="32"/>
        </w:rPr>
        <w:t>-</w:t>
      </w:r>
      <w:r w:rsidR="00F42EAF" w:rsidRPr="00F42EAF">
        <w:rPr>
          <w:sz w:val="32"/>
          <w:szCs w:val="32"/>
        </w:rPr>
        <w:t>2001008</w:t>
      </w:r>
    </w:p>
    <w:p w14:paraId="2A725917" w14:textId="2932AB19" w:rsidR="00E90E49" w:rsidRPr="00CE0424" w:rsidRDefault="00E62336" w:rsidP="00311702">
      <w:pPr>
        <w:pStyle w:val="3GPPHeader"/>
      </w:pPr>
      <w:bookmarkStart w:id="1" w:name="_Hlk32266875"/>
      <w:r w:rsidRPr="00E62336">
        <w:t>e-Meeting</w:t>
      </w:r>
      <w:r w:rsidR="00AA0854" w:rsidRPr="00C133F1">
        <w:t>, February 24</w:t>
      </w:r>
      <w:r w:rsidR="00AA0854" w:rsidRPr="00C133F1">
        <w:rPr>
          <w:vertAlign w:val="superscript"/>
        </w:rPr>
        <w:t>th</w:t>
      </w:r>
      <w:r w:rsidR="00AA0854" w:rsidRPr="00C133F1">
        <w:t>-</w:t>
      </w:r>
      <w:r>
        <w:t xml:space="preserve"> March 6</w:t>
      </w:r>
      <w:r w:rsidR="00AA0854" w:rsidRPr="00C133F1">
        <w:rPr>
          <w:vertAlign w:val="superscript"/>
        </w:rPr>
        <w:t>th</w:t>
      </w:r>
      <w:r w:rsidR="00DC331C" w:rsidRPr="00C133F1">
        <w:t>, 2020</w:t>
      </w:r>
      <w:bookmarkEnd w:id="1"/>
    </w:p>
    <w:p w14:paraId="7FD0A2FD" w14:textId="77777777" w:rsidR="00E90E49" w:rsidRPr="00CE0424" w:rsidRDefault="00E90E49" w:rsidP="00357380">
      <w:pPr>
        <w:pStyle w:val="3GPPHeader"/>
      </w:pPr>
    </w:p>
    <w:p w14:paraId="0209C9BC" w14:textId="0D97F743" w:rsidR="00E90E49" w:rsidRPr="0020754D" w:rsidRDefault="00E90E49" w:rsidP="00311702">
      <w:pPr>
        <w:pStyle w:val="3GPPHeader"/>
        <w:rPr>
          <w:rFonts w:cs="Arial"/>
          <w:sz w:val="22"/>
          <w:lang w:val="sv-FI" w:eastAsia="en-US"/>
        </w:rPr>
      </w:pPr>
      <w:r w:rsidRPr="008F1C4E">
        <w:rPr>
          <w:sz w:val="22"/>
          <w:szCs w:val="22"/>
          <w:lang w:val="sv-FI"/>
        </w:rPr>
        <w:t>Agenda Item:</w:t>
      </w:r>
      <w:r w:rsidRPr="008F1C4E">
        <w:rPr>
          <w:sz w:val="22"/>
          <w:szCs w:val="22"/>
          <w:lang w:val="sv-FI"/>
        </w:rPr>
        <w:tab/>
      </w:r>
      <w:r w:rsidR="0020754D">
        <w:rPr>
          <w:rFonts w:cs="Arial"/>
          <w:sz w:val="22"/>
          <w:lang w:val="sv-FI"/>
        </w:rPr>
        <w:t>7.2.4.2.1</w:t>
      </w:r>
    </w:p>
    <w:p w14:paraId="4C8CF4A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692B630" w14:textId="6816B637" w:rsidR="00E90E49" w:rsidRPr="0020754D" w:rsidRDefault="003D3C45" w:rsidP="00311702">
      <w:pPr>
        <w:pStyle w:val="3GPPHeader"/>
        <w:rPr>
          <w:sz w:val="22"/>
          <w:szCs w:val="22"/>
        </w:rPr>
      </w:pPr>
      <w:r>
        <w:rPr>
          <w:sz w:val="22"/>
          <w:szCs w:val="22"/>
        </w:rPr>
        <w:t>Title:</w:t>
      </w:r>
      <w:r w:rsidR="00E90E49" w:rsidRPr="00CE0424">
        <w:rPr>
          <w:sz w:val="22"/>
          <w:szCs w:val="22"/>
        </w:rPr>
        <w:tab/>
      </w:r>
      <w:r w:rsidR="0020754D">
        <w:rPr>
          <w:sz w:val="22"/>
          <w:szCs w:val="22"/>
        </w:rPr>
        <w:t>Resource Allocation Mode 1 for NR SL</w:t>
      </w:r>
    </w:p>
    <w:p w14:paraId="5564222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77F87">
        <w:rPr>
          <w:sz w:val="22"/>
          <w:szCs w:val="22"/>
        </w:rPr>
        <w:t>Discussion, Decision</w:t>
      </w:r>
    </w:p>
    <w:p w14:paraId="7D7F46BF" w14:textId="77777777" w:rsidR="00E90E49" w:rsidRPr="00CE0424" w:rsidRDefault="00E90E49" w:rsidP="00E90E49"/>
    <w:p w14:paraId="16CA1503" w14:textId="77777777" w:rsidR="00E90E49" w:rsidRPr="00CE0424" w:rsidRDefault="00230D18" w:rsidP="00CE0424">
      <w:pPr>
        <w:pStyle w:val="Heading1"/>
      </w:pPr>
      <w:r>
        <w:t>1</w:t>
      </w:r>
      <w:r>
        <w:tab/>
      </w:r>
      <w:r w:rsidR="00E90E49" w:rsidRPr="00CE0424">
        <w:t>Introduction</w:t>
      </w:r>
    </w:p>
    <w:p w14:paraId="2E5CED13" w14:textId="094E9E56" w:rsidR="00F67DFD" w:rsidRDefault="00F67DFD" w:rsidP="00F67DFD">
      <w:pPr>
        <w:pStyle w:val="BodyText"/>
      </w:pPr>
      <w:r>
        <w:t>In this paper, open issues related to the resource allocation mode 1 AI in NR SL Rel-16 are discussed</w:t>
      </w:r>
      <w:r w:rsidR="00621CCF">
        <w:t>.</w:t>
      </w:r>
    </w:p>
    <w:p w14:paraId="70EF42B3" w14:textId="0E6DF2F2" w:rsidR="00DB5497" w:rsidRDefault="00230D18" w:rsidP="00D13745">
      <w:pPr>
        <w:pStyle w:val="Heading1"/>
      </w:pPr>
      <w:bookmarkStart w:id="2" w:name="_Ref178064866"/>
      <w:r>
        <w:t>2</w:t>
      </w:r>
      <w:r>
        <w:tab/>
      </w:r>
      <w:bookmarkEnd w:id="2"/>
      <w:r w:rsidR="00DB5497">
        <w:tab/>
        <w:t>Configured grant</w:t>
      </w:r>
    </w:p>
    <w:p w14:paraId="7B724E66" w14:textId="50B4722B" w:rsidR="004E4F14" w:rsidRPr="004E4F14" w:rsidRDefault="00D13745" w:rsidP="004E4F14">
      <w:pPr>
        <w:pStyle w:val="Heading2"/>
      </w:pPr>
      <w:r>
        <w:t>2</w:t>
      </w:r>
      <w:r w:rsidR="004E4F14" w:rsidRPr="004E4F14">
        <w:t>.1</w:t>
      </w:r>
      <w:r w:rsidR="00646EFA">
        <w:tab/>
      </w:r>
      <w:r w:rsidR="004E4F14" w:rsidRPr="004E4F14">
        <w:t>HARQ process ID determination</w:t>
      </w:r>
    </w:p>
    <w:p w14:paraId="7E883DD9" w14:textId="344FFB8E" w:rsidR="00DB5497" w:rsidRPr="00B6555C" w:rsidRDefault="002303BA" w:rsidP="00776D36">
      <w:pPr>
        <w:jc w:val="both"/>
        <w:rPr>
          <w:rFonts w:ascii="Arial" w:hAnsi="Arial" w:cs="Arial"/>
        </w:rPr>
      </w:pPr>
      <w:r w:rsidRPr="00B6555C">
        <w:rPr>
          <w:rFonts w:ascii="Arial" w:hAnsi="Arial" w:cs="Arial"/>
        </w:rPr>
        <w:t>One aspect that is not clear in the specifications is the HARQ process ID determination for configured grants. This functionality is essential as, otherwise, the gNB cannot provide additional resources for retransmission using a dynamic grant. In our view, the simplest approach is to have the HARQ process ID as part of the RRC configuration of the grant (type-1) or signalled in DCI (type-2).</w:t>
      </w:r>
    </w:p>
    <w:p w14:paraId="7D89455D" w14:textId="4A778EE7" w:rsidR="002303BA" w:rsidRDefault="002303BA" w:rsidP="006F5DB6">
      <w:pPr>
        <w:pStyle w:val="Proposal"/>
      </w:pPr>
      <w:bookmarkStart w:id="3" w:name="_Toc32527127"/>
      <w:r>
        <w:t>The HARQ process ID used for sidelink transmission scheduled by a configured grant is provided by the gNB as part of the RRC configuration (for type-1) or in the DCI activating the grant (for type-2).</w:t>
      </w:r>
      <w:bookmarkEnd w:id="3"/>
    </w:p>
    <w:p w14:paraId="67B21C84" w14:textId="7430E97B" w:rsidR="002424D9" w:rsidRDefault="00D13745" w:rsidP="002424D9">
      <w:pPr>
        <w:pStyle w:val="Heading2"/>
      </w:pPr>
      <w:r>
        <w:t>2</w:t>
      </w:r>
      <w:r w:rsidR="002424D9">
        <w:t>.2</w:t>
      </w:r>
      <w:r w:rsidR="002424D9">
        <w:tab/>
        <w:t>Timing aspects</w:t>
      </w:r>
    </w:p>
    <w:p w14:paraId="7B85230C" w14:textId="77777777" w:rsidR="002424D9" w:rsidRPr="00642E93" w:rsidRDefault="002424D9" w:rsidP="003D3CDD">
      <w:pPr>
        <w:jc w:val="both"/>
        <w:rPr>
          <w:rFonts w:ascii="Arial" w:hAnsi="Arial" w:cs="Arial"/>
        </w:rPr>
      </w:pPr>
      <w:r w:rsidRPr="00642E93">
        <w:rPr>
          <w:rFonts w:ascii="Arial" w:hAnsi="Arial" w:cs="Arial"/>
        </w:rPr>
        <w:t>For uplink, the RRC configuration for a configured grant type-1 includes the following field:</w:t>
      </w:r>
    </w:p>
    <w:tbl>
      <w:tblPr>
        <w:tblStyle w:val="TableGrid"/>
        <w:tblW w:w="0" w:type="auto"/>
        <w:tblLook w:val="04A0" w:firstRow="1" w:lastRow="0" w:firstColumn="1" w:lastColumn="0" w:noHBand="0" w:noVBand="1"/>
      </w:tblPr>
      <w:tblGrid>
        <w:gridCol w:w="9629"/>
      </w:tblGrid>
      <w:tr w:rsidR="002424D9" w14:paraId="09E86846" w14:textId="77777777" w:rsidTr="006064E6">
        <w:tc>
          <w:tcPr>
            <w:tcW w:w="9629" w:type="dxa"/>
          </w:tcPr>
          <w:p w14:paraId="3D9E763A" w14:textId="77777777" w:rsidR="002424D9" w:rsidRPr="00CD7625" w:rsidRDefault="002424D9" w:rsidP="00600E4D">
            <w:pPr>
              <w:pStyle w:val="TAL"/>
              <w:spacing w:before="240"/>
              <w:rPr>
                <w:lang w:val="en-GB" w:eastAsia="ja-JP"/>
              </w:rPr>
            </w:pPr>
            <w:r w:rsidRPr="00CD7625">
              <w:rPr>
                <w:b/>
                <w:i/>
                <w:lang w:val="en-GB" w:eastAsia="ja-JP"/>
              </w:rPr>
              <w:t>timeDomainOffset</w:t>
            </w:r>
          </w:p>
          <w:p w14:paraId="032A5415" w14:textId="77777777" w:rsidR="002424D9" w:rsidRPr="00083914" w:rsidRDefault="002424D9" w:rsidP="006064E6">
            <w:pPr>
              <w:rPr>
                <w:lang w:val="en-US"/>
              </w:rPr>
            </w:pPr>
            <w:r w:rsidRPr="00CD7625">
              <w:rPr>
                <w:lang w:val="en-GB"/>
              </w:rPr>
              <w:t>Offset related to SFN=0, see TS 38.321 [3], clause 5.8.2.</w:t>
            </w:r>
          </w:p>
        </w:tc>
      </w:tr>
    </w:tbl>
    <w:p w14:paraId="12FC79D3" w14:textId="541CA37F" w:rsidR="00FD0453" w:rsidRDefault="0082140C" w:rsidP="003D3CDD">
      <w:pPr>
        <w:spacing w:before="240"/>
        <w:jc w:val="both"/>
        <w:rPr>
          <w:rFonts w:ascii="Arial" w:hAnsi="Arial" w:cs="Arial"/>
        </w:rPr>
      </w:pPr>
      <w:r>
        <w:rPr>
          <w:rFonts w:ascii="Arial" w:hAnsi="Arial" w:cs="Arial"/>
        </w:rPr>
        <w:t xml:space="preserve">In principle, the UE could derive the slots corresponding to the configured grant type-1 by applying the </w:t>
      </w:r>
      <w:r w:rsidRPr="0082140C">
        <w:rPr>
          <w:rFonts w:ascii="Arial" w:hAnsi="Arial" w:cs="Arial"/>
          <w:i/>
          <w:iCs/>
        </w:rPr>
        <w:t>timeDomainOffset</w:t>
      </w:r>
      <w:r>
        <w:rPr>
          <w:rFonts w:ascii="Arial" w:hAnsi="Arial" w:cs="Arial"/>
        </w:rPr>
        <w:t xml:space="preserve"> to SFN=0 of the carrier in which the SL transmission takes place. If only configured grants type-1 were used, then there would be no collisions between different UEs due to timing ambiguities. However, if configured grant type-1 are used in the same carrier as other DCI-based grants collision may take place due to the timing ambiguities with the latter ones. For this reason, to derive the slots used for configured grant type-1 we propose to follow a rule </w:t>
      </w:r>
      <w:r w:rsidR="0093043D">
        <w:rPr>
          <w:rFonts w:ascii="Arial" w:hAnsi="Arial" w:cs="Arial"/>
        </w:rPr>
        <w:t>like</w:t>
      </w:r>
      <w:r>
        <w:rPr>
          <w:rFonts w:ascii="Arial" w:hAnsi="Arial" w:cs="Arial"/>
        </w:rPr>
        <w:t xml:space="preserve"> the one used for DCI-based grants.</w:t>
      </w:r>
    </w:p>
    <w:p w14:paraId="3EF41D56" w14:textId="6091A187" w:rsidR="002424D9" w:rsidRDefault="00FD0453" w:rsidP="006A3A5B">
      <w:pPr>
        <w:pStyle w:val="Proposal"/>
        <w:rPr>
          <w:rFonts w:cs="Arial"/>
        </w:rPr>
      </w:pPr>
      <w:bookmarkStart w:id="4" w:name="_Toc32527128"/>
      <w:r w:rsidRPr="006A3A5B">
        <w:t xml:space="preserve">For configured grant type-1 the slot corresponding to the first SL transmission is the first SL slot of the corresponding resource pool that starts no earlier than </w:t>
      </w:r>
      <w:r w:rsidR="006A3A5B" w:rsidRPr="006A3A5B">
        <w:t>SFN</w:t>
      </w:r>
      <w:r w:rsidR="006A3A5B" w:rsidRPr="006A3A5B">
        <w:rPr>
          <w:vertAlign w:val="subscript"/>
        </w:rPr>
        <w:t>0</w:t>
      </w:r>
      <w:r w:rsidR="006A3A5B">
        <w:t xml:space="preserve"> + </w:t>
      </w:r>
      <w:r w:rsidR="006A3A5B" w:rsidRPr="006A3A5B">
        <w:rPr>
          <w:i/>
          <w:iCs/>
        </w:rPr>
        <w:t>timeDomainOffset</w:t>
      </w:r>
      <w:r w:rsidR="00D03697">
        <w:rPr>
          <w:i/>
          <w:iCs/>
        </w:rPr>
        <w:t xml:space="preserve"> </w:t>
      </w:r>
      <w:r w:rsidR="00D03697">
        <w:t>–</w:t>
      </w:r>
      <w:r w:rsidR="006A3A5B">
        <w:t xml:space="preserve"> T</w:t>
      </w:r>
      <w:r w:rsidR="006A3A5B" w:rsidRPr="006A3A5B">
        <w:rPr>
          <w:vertAlign w:val="subscript"/>
        </w:rPr>
        <w:t>TA</w:t>
      </w:r>
      <w:r w:rsidR="006A3A5B">
        <w:t>/2 x TC</w:t>
      </w:r>
      <w:r w:rsidR="0093043D" w:rsidRPr="006A3A5B">
        <w:t>, where SFN</w:t>
      </w:r>
      <w:r w:rsidR="0093043D" w:rsidRPr="006A3A5B">
        <w:rPr>
          <w:vertAlign w:val="subscript"/>
        </w:rPr>
        <w:t>0</w:t>
      </w:r>
      <w:r w:rsidR="0093043D" w:rsidRPr="006A3A5B">
        <w:t xml:space="preserve"> corresponds to </w:t>
      </w:r>
      <w:r w:rsidRPr="006A3A5B">
        <w:t xml:space="preserve">SFN=0 </w:t>
      </w:r>
      <w:r w:rsidR="0093043D" w:rsidRPr="006A3A5B">
        <w:t>in the DL carrier</w:t>
      </w:r>
      <w:r w:rsidR="006A3A5B">
        <w:t xml:space="preserve">, </w:t>
      </w:r>
      <w:r w:rsidR="0093043D" w:rsidRPr="005972DE">
        <w:rPr>
          <w:rFonts w:cs="Arial"/>
          <w:bCs w:val="0"/>
          <w:lang w:val="en-US"/>
        </w:rPr>
        <w:t>T</w:t>
      </w:r>
      <w:r w:rsidR="0093043D" w:rsidRPr="005972DE">
        <w:rPr>
          <w:rFonts w:cs="Arial"/>
          <w:bCs w:val="0"/>
          <w:vertAlign w:val="subscript"/>
        </w:rPr>
        <w:t>TA</w:t>
      </w:r>
      <w:r w:rsidR="0093043D" w:rsidRPr="005972DE">
        <w:rPr>
          <w:rFonts w:cs="Arial"/>
          <w:bCs w:val="0"/>
        </w:rPr>
        <w:t xml:space="preserve"> is the timing</w:t>
      </w:r>
      <w:r w:rsidR="0093043D">
        <w:rPr>
          <w:rFonts w:cs="Arial"/>
          <w:bCs w:val="0"/>
        </w:rPr>
        <w:t xml:space="preserve"> advance value</w:t>
      </w:r>
      <w:r w:rsidR="000A0FF2">
        <w:rPr>
          <w:rFonts w:cs="Arial"/>
          <w:bCs w:val="0"/>
        </w:rPr>
        <w:t>,</w:t>
      </w:r>
      <w:r w:rsidR="0093043D">
        <w:rPr>
          <w:rFonts w:cs="Arial"/>
          <w:bCs w:val="0"/>
        </w:rPr>
        <w:t xml:space="preserve"> and </w:t>
      </w:r>
      <w:r w:rsidR="0093043D">
        <w:rPr>
          <w:rFonts w:cs="Arial"/>
          <w:bCs w:val="0"/>
          <w:lang w:val="en-US"/>
        </w:rPr>
        <w:t>T</w:t>
      </w:r>
      <w:r w:rsidR="0093043D">
        <w:rPr>
          <w:rFonts w:cs="Arial"/>
          <w:bCs w:val="0"/>
          <w:vertAlign w:val="subscript"/>
          <w:lang w:val="en-US"/>
        </w:rPr>
        <w:t>c</w:t>
      </w:r>
      <w:r w:rsidR="0093043D">
        <w:rPr>
          <w:rFonts w:cs="Arial"/>
          <w:bCs w:val="0"/>
          <w:lang w:val="en-US"/>
        </w:rPr>
        <w:t xml:space="preserve"> is as defined in 38.211.</w:t>
      </w:r>
      <w:bookmarkEnd w:id="4"/>
    </w:p>
    <w:p w14:paraId="29F53409" w14:textId="4D653CB2" w:rsidR="00DB5497" w:rsidRDefault="00D13745" w:rsidP="00DB5497">
      <w:pPr>
        <w:pStyle w:val="Heading1"/>
      </w:pPr>
      <w:r>
        <w:lastRenderedPageBreak/>
        <w:t>3</w:t>
      </w:r>
      <w:r w:rsidR="00DB5497">
        <w:tab/>
        <w:t>DCI aspects</w:t>
      </w:r>
    </w:p>
    <w:p w14:paraId="4BABCF89" w14:textId="72D429C0" w:rsidR="00806EB0" w:rsidRPr="001F0DFF" w:rsidRDefault="00806EB0" w:rsidP="001F0DFF">
      <w:pPr>
        <w:jc w:val="both"/>
        <w:rPr>
          <w:rFonts w:ascii="Arial" w:hAnsi="Arial" w:cs="Arial"/>
        </w:rPr>
      </w:pPr>
      <w:r w:rsidRPr="001F0DFF">
        <w:rPr>
          <w:rFonts w:ascii="Arial" w:hAnsi="Arial" w:cs="Arial"/>
        </w:rPr>
        <w:t>Section 7.3.1.4.1 in 38.212 specifies DCI format 3_0 as follows:</w:t>
      </w:r>
    </w:p>
    <w:tbl>
      <w:tblPr>
        <w:tblStyle w:val="TableGrid"/>
        <w:tblW w:w="0" w:type="auto"/>
        <w:tblLook w:val="04A0" w:firstRow="1" w:lastRow="0" w:firstColumn="1" w:lastColumn="0" w:noHBand="0" w:noVBand="1"/>
      </w:tblPr>
      <w:tblGrid>
        <w:gridCol w:w="9629"/>
      </w:tblGrid>
      <w:tr w:rsidR="00B6555C" w14:paraId="6A0C997E" w14:textId="77777777" w:rsidTr="00B6555C">
        <w:tc>
          <w:tcPr>
            <w:tcW w:w="9629" w:type="dxa"/>
          </w:tcPr>
          <w:p w14:paraId="00695676" w14:textId="77777777" w:rsidR="00B6555C" w:rsidRPr="00083914" w:rsidRDefault="00B6555C" w:rsidP="00B6555C">
            <w:pPr>
              <w:rPr>
                <w:lang w:val="en-US" w:eastAsia="zh-CN"/>
              </w:rPr>
            </w:pPr>
            <w:r w:rsidRPr="00083914">
              <w:rPr>
                <w:lang w:val="en-US"/>
              </w:rPr>
              <w:t>DCI format 3</w:t>
            </w:r>
            <w:r w:rsidRPr="00083914">
              <w:rPr>
                <w:rFonts w:hint="eastAsia"/>
                <w:lang w:val="en-US" w:eastAsia="zh-CN"/>
              </w:rPr>
              <w:t>_0</w:t>
            </w:r>
            <w:r w:rsidRPr="00083914">
              <w:rPr>
                <w:lang w:val="en-US"/>
              </w:rPr>
              <w:t xml:space="preserve"> is used for scheduling of NR PSCCH and NR PSSCH in one cell. </w:t>
            </w:r>
          </w:p>
          <w:p w14:paraId="64269E9E" w14:textId="77777777" w:rsidR="00B6555C" w:rsidRPr="00083914" w:rsidRDefault="00B6555C" w:rsidP="00B6555C">
            <w:pPr>
              <w:rPr>
                <w:lang w:val="en-US"/>
              </w:rPr>
            </w:pPr>
            <w:r w:rsidRPr="00083914">
              <w:rPr>
                <w:lang w:val="en-US"/>
              </w:rPr>
              <w:t>The following information is transmitted by means of the DCI format 3</w:t>
            </w:r>
            <w:r w:rsidRPr="00083914">
              <w:rPr>
                <w:rFonts w:hint="eastAsia"/>
                <w:lang w:val="en-US" w:eastAsia="zh-CN"/>
              </w:rPr>
              <w:t xml:space="preserve">_0 with CRC scrambled by </w:t>
            </w:r>
            <w:r w:rsidRPr="00083914">
              <w:rPr>
                <w:lang w:val="en-US" w:eastAsia="zh-CN"/>
              </w:rPr>
              <w:t>SL</w:t>
            </w:r>
            <w:r w:rsidRPr="00083914">
              <w:rPr>
                <w:rFonts w:hint="eastAsia"/>
                <w:lang w:val="en-US" w:eastAsia="zh-CN"/>
              </w:rPr>
              <w:t>-RNTI</w:t>
            </w:r>
            <w:r w:rsidRPr="00083914">
              <w:rPr>
                <w:lang w:val="en-US" w:eastAsia="zh-CN"/>
              </w:rPr>
              <w:t xml:space="preserve"> or </w:t>
            </w:r>
            <w:r w:rsidRPr="00083914">
              <w:rPr>
                <w:lang w:val="en-US"/>
              </w:rPr>
              <w:t>SL-CS-RNTI:</w:t>
            </w:r>
          </w:p>
          <w:p w14:paraId="38A0049E" w14:textId="77777777" w:rsidR="00B6555C" w:rsidRPr="00083914" w:rsidRDefault="00B6555C" w:rsidP="00B6555C">
            <w:pPr>
              <w:pStyle w:val="B1"/>
              <w:rPr>
                <w:lang w:val="en-US" w:eastAsia="ko-KR"/>
              </w:rPr>
            </w:pPr>
            <w:r w:rsidRPr="00083914">
              <w:rPr>
                <w:lang w:val="en-US" w:eastAsia="ko-KR"/>
              </w:rPr>
              <w:t>-</w:t>
            </w:r>
            <w:r w:rsidRPr="00083914">
              <w:rPr>
                <w:lang w:val="en-US" w:eastAsia="ko-KR"/>
              </w:rPr>
              <w:tab/>
            </w:r>
            <w:r w:rsidRPr="00083914">
              <w:rPr>
                <w:highlight w:val="yellow"/>
                <w:lang w:val="en-US" w:eastAsia="ko-KR"/>
              </w:rPr>
              <w:t>Time gap – [x] bits</w:t>
            </w:r>
            <w:r w:rsidRPr="00083914">
              <w:rPr>
                <w:rFonts w:hint="eastAsia"/>
                <w:highlight w:val="yellow"/>
                <w:lang w:val="en-US"/>
              </w:rPr>
              <w:t xml:space="preserve"> </w:t>
            </w:r>
            <w:r w:rsidRPr="00083914">
              <w:rPr>
                <w:highlight w:val="yellow"/>
                <w:lang w:val="en-US" w:eastAsia="ko-KR"/>
              </w:rPr>
              <w:t>determined by higher layer parameter</w:t>
            </w:r>
            <w:r w:rsidRPr="00083914">
              <w:rPr>
                <w:rFonts w:hint="eastAsia"/>
                <w:highlight w:val="yellow"/>
                <w:lang w:val="en-US"/>
              </w:rPr>
              <w:t xml:space="preserve"> </w:t>
            </w:r>
            <w:r w:rsidRPr="00083914">
              <w:rPr>
                <w:i/>
                <w:highlight w:val="yellow"/>
                <w:lang w:val="en-US" w:eastAsia="ko-KR"/>
              </w:rPr>
              <w:t>timeGapFirstSidelinkTransmission</w:t>
            </w:r>
            <w:r w:rsidRPr="00083914">
              <w:rPr>
                <w:rFonts w:hint="eastAsia"/>
                <w:i/>
                <w:highlight w:val="yellow"/>
                <w:lang w:val="en-US"/>
              </w:rPr>
              <w:t xml:space="preserve">, </w:t>
            </w:r>
            <w:r w:rsidRPr="00083914">
              <w:rPr>
                <w:highlight w:val="yellow"/>
                <w:lang w:val="en-US" w:eastAsia="ko-KR"/>
              </w:rPr>
              <w:t>as defined in clause x.x.x of [6, TS 38.214]</w:t>
            </w:r>
          </w:p>
          <w:p w14:paraId="6DDDF4DE" w14:textId="77777777" w:rsidR="00B6555C" w:rsidRPr="00083914" w:rsidRDefault="00B6555C" w:rsidP="00B6555C">
            <w:pPr>
              <w:pStyle w:val="B1"/>
              <w:rPr>
                <w:lang w:val="en-US" w:eastAsia="ko-KR"/>
              </w:rPr>
            </w:pPr>
            <w:r w:rsidRPr="00083914">
              <w:rPr>
                <w:lang w:val="en-US" w:eastAsia="ko-KR"/>
              </w:rPr>
              <w:t>-</w:t>
            </w:r>
            <w:r w:rsidRPr="00083914">
              <w:rPr>
                <w:lang w:val="en-US" w:eastAsia="ko-KR"/>
              </w:rPr>
              <w:tab/>
            </w:r>
            <w:r w:rsidRPr="00083914">
              <w:rPr>
                <w:highlight w:val="yellow"/>
                <w:lang w:val="en-US" w:eastAsia="ko-KR"/>
              </w:rPr>
              <w:t>HARQ process ID – [x] bits</w:t>
            </w:r>
            <w:r w:rsidRPr="00083914">
              <w:rPr>
                <w:rFonts w:hint="eastAsia"/>
                <w:i/>
                <w:highlight w:val="yellow"/>
                <w:lang w:val="en-US"/>
              </w:rPr>
              <w:t xml:space="preserve"> </w:t>
            </w:r>
            <w:r w:rsidRPr="00083914">
              <w:rPr>
                <w:highlight w:val="yellow"/>
                <w:lang w:val="en-US" w:eastAsia="ko-KR"/>
              </w:rPr>
              <w:t>as defined in clause x.x.x of [6, TS 38.214]</w:t>
            </w:r>
          </w:p>
          <w:p w14:paraId="7707CFD2" w14:textId="77777777" w:rsidR="00B6555C" w:rsidRPr="00083914" w:rsidRDefault="00B6555C" w:rsidP="00B6555C">
            <w:pPr>
              <w:pStyle w:val="B1"/>
              <w:rPr>
                <w:rFonts w:eastAsia="Malgun Gothic"/>
                <w:lang w:val="en-US" w:eastAsia="ko-KR"/>
              </w:rPr>
            </w:pPr>
            <w:r w:rsidRPr="00083914">
              <w:rPr>
                <w:lang w:val="en-US" w:eastAsia="ko-KR"/>
              </w:rPr>
              <w:t>-</w:t>
            </w:r>
            <w:r w:rsidRPr="00083914">
              <w:rPr>
                <w:lang w:val="en-US" w:eastAsia="ko-KR"/>
              </w:rPr>
              <w:tab/>
              <w:t>New data indicator – 1 bit</w:t>
            </w:r>
            <w:r w:rsidRPr="00083914">
              <w:rPr>
                <w:rFonts w:hint="eastAsia"/>
                <w:i/>
                <w:lang w:val="en-US"/>
              </w:rPr>
              <w:t xml:space="preserve"> </w:t>
            </w:r>
            <w:r w:rsidRPr="00083914">
              <w:rPr>
                <w:lang w:val="en-US" w:eastAsia="ko-KR"/>
              </w:rPr>
              <w:t>as defined in clause x.x.x of [6, TS 38.214]</w:t>
            </w:r>
          </w:p>
          <w:p w14:paraId="01BCB024" w14:textId="77777777" w:rsidR="00B6555C" w:rsidRPr="00083914" w:rsidRDefault="00B6555C" w:rsidP="00B6555C">
            <w:pPr>
              <w:pStyle w:val="B1"/>
              <w:rPr>
                <w:lang w:val="en-US"/>
              </w:rPr>
            </w:pPr>
            <w:r w:rsidRPr="00083914">
              <w:rPr>
                <w:rFonts w:asciiTheme="minorEastAsia" w:eastAsiaTheme="minorEastAsia" w:hAnsiTheme="minorEastAsia"/>
                <w:lang w:val="en-US"/>
              </w:rPr>
              <w:t>-</w:t>
            </w:r>
            <w:r w:rsidRPr="00083914">
              <w:rPr>
                <w:rFonts w:asciiTheme="minorEastAsia" w:eastAsiaTheme="minorEastAsia" w:hAnsiTheme="minorEastAsia"/>
                <w:lang w:val="en-US"/>
              </w:rPr>
              <w:tab/>
            </w:r>
            <w:r w:rsidRPr="00083914">
              <w:rPr>
                <w:rFonts w:asciiTheme="minorEastAsia" w:eastAsiaTheme="minorEastAsia" w:hAnsiTheme="minorEastAsia" w:hint="eastAsia"/>
                <w:lang w:val="en-US"/>
              </w:rPr>
              <w:t>L</w:t>
            </w:r>
            <w:r w:rsidRPr="00083914">
              <w:rPr>
                <w:rFonts w:eastAsia="Batang"/>
                <w:lang w:val="en-US" w:eastAsia="ja-JP"/>
              </w:rPr>
              <w:t>owest index of the subchannel allocation to the initial transmission</w:t>
            </w:r>
            <w:r w:rsidRPr="00083914">
              <w:rPr>
                <w:lang w:val="en-US" w:eastAsia="ko-KR"/>
              </w:rPr>
              <w:t xml:space="preserv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w:rPr>
                          <w:lang w:val="en-US"/>
                        </w:rPr>
                        <m:t>log</m:t>
                      </m:r>
                    </m:e>
                    <m:sub>
                      <m:r>
                        <m:rPr>
                          <m:nor/>
                        </m:rPr>
                        <w:rPr>
                          <w:lang w:val="en-US"/>
                        </w:rPr>
                        <m:t>2</m:t>
                      </m:r>
                    </m:sub>
                  </m:sSub>
                  <m:r>
                    <m:rPr>
                      <m:nor/>
                    </m:rPr>
                    <w:rPr>
                      <w:lang w:val="en-US"/>
                    </w:rPr>
                    <m:t>(</m:t>
                  </m:r>
                  <m:sSubSup>
                    <m:sSubSupPr>
                      <m:ctrlPr>
                        <w:rPr>
                          <w:rFonts w:ascii="Cambria Math" w:hAnsi="Cambria Math"/>
                          <w:sz w:val="24"/>
                        </w:rPr>
                      </m:ctrlPr>
                    </m:sSubSupPr>
                    <m:e>
                      <m:r>
                        <m:rPr>
                          <m:nor/>
                        </m:rPr>
                        <w:rPr>
                          <w:i/>
                          <w:lang w:val="en-US"/>
                        </w:rPr>
                        <m:t>N</m:t>
                      </m:r>
                    </m:e>
                    <m:sub>
                      <m:r>
                        <m:rPr>
                          <m:nor/>
                        </m:rPr>
                        <w:rPr>
                          <w:rFonts w:ascii="Cambria Math"/>
                          <w:lang w:val="en-US"/>
                        </w:rPr>
                        <m:t xml:space="preserve"> </m:t>
                      </m:r>
                      <m:r>
                        <m:rPr>
                          <m:nor/>
                        </m:rPr>
                        <w:rPr>
                          <w:lang w:val="en-US"/>
                        </w:rPr>
                        <m:t>subChannel</m:t>
                      </m:r>
                    </m:sub>
                    <m:sup>
                      <m:r>
                        <m:rPr>
                          <m:nor/>
                        </m:rPr>
                        <w:rPr>
                          <w:rFonts w:ascii="Cambria Math"/>
                          <w:lang w:val="en-US"/>
                        </w:rPr>
                        <m:t xml:space="preserve"> </m:t>
                      </m:r>
                      <m:r>
                        <m:rPr>
                          <m:nor/>
                        </m:rPr>
                        <w:rPr>
                          <w:lang w:val="en-US"/>
                        </w:rPr>
                        <m:t>SL</m:t>
                      </m:r>
                    </m:sup>
                  </m:sSubSup>
                  <m:r>
                    <m:rPr>
                      <m:nor/>
                    </m:rPr>
                    <w:rPr>
                      <w:lang w:val="en-US"/>
                    </w:rPr>
                    <m:t>)</m:t>
                  </m:r>
                </m:e>
              </m:d>
            </m:oMath>
            <w:r w:rsidRPr="00083914">
              <w:rPr>
                <w:lang w:val="en-US" w:eastAsia="ko-KR"/>
              </w:rPr>
              <w:t xml:space="preserve"> bits</w:t>
            </w:r>
            <w:r w:rsidRPr="00083914">
              <w:rPr>
                <w:rFonts w:hint="eastAsia"/>
                <w:lang w:val="en-US"/>
              </w:rPr>
              <w:t xml:space="preserve"> </w:t>
            </w:r>
            <w:r w:rsidRPr="00083914">
              <w:rPr>
                <w:lang w:val="en-US" w:eastAsia="ko-KR"/>
              </w:rPr>
              <w:t>as defined in clause x.x.x of [6, TS 38.214]</w:t>
            </w:r>
          </w:p>
          <w:p w14:paraId="3EBE0A81" w14:textId="77777777" w:rsidR="00B6555C" w:rsidRPr="00083914" w:rsidRDefault="00B6555C" w:rsidP="00B6555C">
            <w:pPr>
              <w:pStyle w:val="B1"/>
              <w:rPr>
                <w:lang w:val="en-US"/>
              </w:rPr>
            </w:pPr>
            <w:r w:rsidRPr="00083914">
              <w:rPr>
                <w:lang w:val="en-US"/>
              </w:rPr>
              <w:t>-</w:t>
            </w:r>
            <w:r w:rsidRPr="00083914">
              <w:rPr>
                <w:lang w:val="en-US"/>
              </w:rPr>
              <w:tab/>
              <w:t xml:space="preserve">SCI format </w:t>
            </w:r>
            <w:r>
              <w:rPr>
                <w:lang w:val="en-US"/>
              </w:rPr>
              <w:t>0-1</w:t>
            </w:r>
            <w:r w:rsidRPr="00083914">
              <w:rPr>
                <w:lang w:val="en-US"/>
              </w:rPr>
              <w:t xml:space="preserve"> fields according to clause </w:t>
            </w:r>
            <w:r>
              <w:rPr>
                <w:lang w:val="en-US"/>
              </w:rPr>
              <w:t>8.3.1.1</w:t>
            </w:r>
            <w:r w:rsidRPr="00083914">
              <w:rPr>
                <w:lang w:val="en-US"/>
              </w:rPr>
              <w:t>:</w:t>
            </w:r>
          </w:p>
          <w:p w14:paraId="1BA5BDE6" w14:textId="77777777" w:rsidR="00B6555C" w:rsidRPr="00083914" w:rsidRDefault="00B6555C" w:rsidP="00B6555C">
            <w:pPr>
              <w:pStyle w:val="B2"/>
              <w:rPr>
                <w:lang w:val="en-US"/>
              </w:rPr>
            </w:pPr>
            <w:r w:rsidRPr="00083914">
              <w:rPr>
                <w:lang w:val="en-US" w:eastAsia="ko-KR"/>
              </w:rPr>
              <w:t>-</w:t>
            </w:r>
            <w:r w:rsidRPr="00083914">
              <w:rPr>
                <w:lang w:val="en-US" w:eastAsia="ko-KR"/>
              </w:rPr>
              <w:tab/>
              <w:t>Frequency resource assignment</w:t>
            </w:r>
            <w:r w:rsidRPr="00083914">
              <w:rPr>
                <w:noProof/>
                <w:lang w:val="en-US"/>
              </w:rPr>
              <w:t>.</w:t>
            </w:r>
          </w:p>
          <w:p w14:paraId="4072F287" w14:textId="77777777" w:rsidR="00B6555C" w:rsidRPr="00083914" w:rsidRDefault="00B6555C" w:rsidP="00B6555C">
            <w:pPr>
              <w:pStyle w:val="B2"/>
              <w:rPr>
                <w:lang w:val="en-US"/>
              </w:rPr>
            </w:pPr>
            <w:r w:rsidRPr="00083914">
              <w:rPr>
                <w:lang w:val="en-US"/>
              </w:rPr>
              <w:t>-</w:t>
            </w:r>
            <w:r w:rsidRPr="00083914">
              <w:rPr>
                <w:lang w:val="en-US"/>
              </w:rPr>
              <w:tab/>
              <w:t xml:space="preserve">Time </w:t>
            </w:r>
            <w:r w:rsidRPr="00083914">
              <w:rPr>
                <w:lang w:val="en-US" w:eastAsia="ko-KR"/>
              </w:rPr>
              <w:t>resource assignment</w:t>
            </w:r>
            <w:r w:rsidRPr="00083914">
              <w:rPr>
                <w:lang w:val="en-US"/>
              </w:rPr>
              <w:t>.</w:t>
            </w:r>
          </w:p>
          <w:p w14:paraId="14CEF3F2" w14:textId="77777777" w:rsidR="00B6555C" w:rsidRPr="00083914" w:rsidRDefault="00B6555C" w:rsidP="00B6555C">
            <w:pPr>
              <w:pStyle w:val="B1"/>
              <w:rPr>
                <w:lang w:val="en-US" w:eastAsia="ko-KR"/>
              </w:rPr>
            </w:pPr>
            <w:r>
              <w:rPr>
                <w:lang w:val="en-US"/>
              </w:rPr>
              <w:t>-</w:t>
            </w:r>
            <w:r>
              <w:rPr>
                <w:lang w:val="en-US"/>
              </w:rPr>
              <w:tab/>
            </w:r>
            <w:r>
              <w:rPr>
                <w:rFonts w:hint="eastAsia"/>
                <w:lang w:val="en-US"/>
              </w:rPr>
              <w:t>P</w:t>
            </w:r>
            <w:r w:rsidRPr="00CA21CE">
              <w:rPr>
                <w:rFonts w:hint="eastAsia"/>
                <w:lang w:val="en-US"/>
              </w:rPr>
              <w:t>S</w:t>
            </w:r>
            <w:r>
              <w:rPr>
                <w:lang w:val="en-US"/>
              </w:rPr>
              <w:t>F</w:t>
            </w:r>
            <w:r>
              <w:rPr>
                <w:rFonts w:hint="eastAsia"/>
                <w:lang w:val="en-US"/>
              </w:rPr>
              <w:t>CH-to-HARQ</w:t>
            </w:r>
            <w:r>
              <w:rPr>
                <w:lang w:val="en-US"/>
              </w:rPr>
              <w:t xml:space="preserve"> </w:t>
            </w:r>
            <w:r w:rsidRPr="00CA21CE">
              <w:rPr>
                <w:rFonts w:hint="eastAsia"/>
                <w:lang w:val="en-US"/>
              </w:rPr>
              <w:t>feedback timing indicator</w:t>
            </w:r>
            <w:r w:rsidRPr="00083914">
              <w:rPr>
                <w:lang w:val="en-US" w:eastAsia="ko-KR"/>
              </w:rPr>
              <w:t xml:space="preserve"> – 3 bits</w:t>
            </w:r>
            <w:r w:rsidRPr="00083914">
              <w:rPr>
                <w:rFonts w:hint="eastAsia"/>
                <w:i/>
                <w:lang w:val="en-US"/>
              </w:rPr>
              <w:t xml:space="preserve"> </w:t>
            </w:r>
            <w:r w:rsidRPr="00083914">
              <w:rPr>
                <w:lang w:val="en-US" w:eastAsia="ko-KR"/>
              </w:rPr>
              <w:t>as defined in clause x.x.x of [6, TS 38.214].</w:t>
            </w:r>
          </w:p>
          <w:p w14:paraId="627148A7" w14:textId="77777777" w:rsidR="00B6555C" w:rsidRPr="00DF5F88" w:rsidRDefault="00B6555C" w:rsidP="00B6555C">
            <w:pPr>
              <w:pStyle w:val="B1"/>
              <w:rPr>
                <w:lang w:val="en-US"/>
              </w:rPr>
            </w:pPr>
            <w:r>
              <w:rPr>
                <w:lang w:val="en-US"/>
              </w:rPr>
              <w:t>-</w:t>
            </w:r>
            <w:r>
              <w:rPr>
                <w:lang w:val="en-US"/>
              </w:rPr>
              <w:tab/>
            </w:r>
            <w:r>
              <w:rPr>
                <w:rFonts w:hint="eastAsia"/>
                <w:lang w:val="en-US"/>
              </w:rPr>
              <w:t>P</w:t>
            </w:r>
            <w:r>
              <w:rPr>
                <w:lang w:val="en-US"/>
              </w:rPr>
              <w:t>UCCH resource</w:t>
            </w:r>
            <w:r w:rsidRPr="00CA21CE">
              <w:rPr>
                <w:rFonts w:hint="eastAsia"/>
                <w:lang w:val="en-US"/>
              </w:rPr>
              <w:t xml:space="preserve"> indicator</w:t>
            </w:r>
            <w:r w:rsidRPr="00083914">
              <w:rPr>
                <w:lang w:val="en-US" w:eastAsia="ko-KR"/>
              </w:rPr>
              <w:t xml:space="preserve"> – 3 bits</w:t>
            </w:r>
            <w:r w:rsidRPr="00083914">
              <w:rPr>
                <w:rFonts w:hint="eastAsia"/>
                <w:i/>
                <w:lang w:val="en-US"/>
              </w:rPr>
              <w:t xml:space="preserve"> </w:t>
            </w:r>
            <w:r w:rsidRPr="00083914">
              <w:rPr>
                <w:lang w:val="en-US" w:eastAsia="ko-KR"/>
              </w:rPr>
              <w:t>as defined in clause x.x.x of [6, TS 38.214].</w:t>
            </w:r>
          </w:p>
          <w:p w14:paraId="299F9464" w14:textId="43A2353F" w:rsidR="00B6555C" w:rsidRPr="00B6555C" w:rsidRDefault="00B6555C" w:rsidP="00B6555C">
            <w:pPr>
              <w:pStyle w:val="B1"/>
              <w:rPr>
                <w:lang w:val="en-US"/>
              </w:rPr>
            </w:pPr>
            <w:r>
              <w:rPr>
                <w:lang w:val="en-US"/>
              </w:rPr>
              <w:t>-</w:t>
            </w:r>
            <w:r>
              <w:rPr>
                <w:lang w:val="en-US"/>
              </w:rPr>
              <w:tab/>
            </w:r>
            <w:r w:rsidRPr="001F0DFF">
              <w:rPr>
                <w:highlight w:val="yellow"/>
                <w:lang w:val="en-US"/>
              </w:rPr>
              <w:t xml:space="preserve">Configuration </w:t>
            </w:r>
            <w:r w:rsidRPr="00083914">
              <w:rPr>
                <w:rFonts w:eastAsia="Batang"/>
                <w:bCs/>
                <w:highlight w:val="yellow"/>
                <w:lang w:val="en-US" w:eastAsia="ja-JP"/>
              </w:rPr>
              <w:t xml:space="preserve">index </w:t>
            </w:r>
            <w:r w:rsidRPr="00083914">
              <w:rPr>
                <w:highlight w:val="yellow"/>
                <w:lang w:val="en-US" w:eastAsia="ko-KR"/>
              </w:rPr>
              <w:t>– 0 bit if the UE is not configured to monitor DCI format 3_0 with CRC scrambled by SL-CS-RNTI; otherwise [x] bits</w:t>
            </w:r>
            <w:r w:rsidRPr="00083914">
              <w:rPr>
                <w:rFonts w:hint="eastAsia"/>
                <w:i/>
                <w:highlight w:val="yellow"/>
                <w:lang w:val="en-US"/>
              </w:rPr>
              <w:t xml:space="preserve"> </w:t>
            </w:r>
            <w:r w:rsidRPr="00083914">
              <w:rPr>
                <w:highlight w:val="yellow"/>
                <w:lang w:val="en-US" w:eastAsia="ko-KR"/>
              </w:rPr>
              <w:t>as defined in clause x.x.x of [6, TS 38.214]. If the UE is configured to monitor DCI format 3_0 with CRC scrambled by SL-CS-RNTI, this field is reserved for DCI format 3_0 with CRC scrambled by SL-RNTI.</w:t>
            </w:r>
            <w:r w:rsidRPr="00083914">
              <w:rPr>
                <w:lang w:val="en-US" w:eastAsia="ko-KR"/>
              </w:rPr>
              <w:t xml:space="preserve"> </w:t>
            </w:r>
          </w:p>
        </w:tc>
      </w:tr>
    </w:tbl>
    <w:p w14:paraId="7A71CD3A" w14:textId="1AA9A1BD" w:rsidR="0019403A" w:rsidRDefault="00D13745" w:rsidP="0019403A">
      <w:pPr>
        <w:pStyle w:val="Heading2"/>
      </w:pPr>
      <w:r>
        <w:t>3</w:t>
      </w:r>
      <w:r w:rsidR="0019403A">
        <w:t>.1</w:t>
      </w:r>
      <w:r w:rsidR="0019403A">
        <w:tab/>
        <w:t>Contents</w:t>
      </w:r>
    </w:p>
    <w:p w14:paraId="7280A9D1" w14:textId="45F5EA06" w:rsidR="0019403A" w:rsidRPr="001F0DFF" w:rsidRDefault="0019403A" w:rsidP="001F0DFF">
      <w:pPr>
        <w:jc w:val="both"/>
        <w:rPr>
          <w:rFonts w:ascii="Arial" w:hAnsi="Arial" w:cs="Arial"/>
        </w:rPr>
      </w:pPr>
      <w:r w:rsidRPr="001F0DFF">
        <w:rPr>
          <w:rFonts w:ascii="Arial" w:hAnsi="Arial" w:cs="Arial"/>
        </w:rPr>
        <w:t xml:space="preserve">As seen above, some of the fields are not completely specified. </w:t>
      </w:r>
    </w:p>
    <w:p w14:paraId="061FB450" w14:textId="53A9FD30" w:rsidR="0019403A" w:rsidRPr="001F0DFF" w:rsidRDefault="0019403A" w:rsidP="001F0DFF">
      <w:pPr>
        <w:jc w:val="both"/>
        <w:rPr>
          <w:rFonts w:ascii="Arial" w:hAnsi="Arial" w:cs="Arial"/>
        </w:rPr>
      </w:pPr>
      <w:r w:rsidRPr="001F0DFF">
        <w:rPr>
          <w:rFonts w:ascii="Arial" w:hAnsi="Arial" w:cs="Arial"/>
        </w:rPr>
        <w:t>For time gap, we propose that the RRC table can be configured with up to 8 values and that the bitwidth is chosen accordingly.</w:t>
      </w:r>
    </w:p>
    <w:p w14:paraId="03E16172" w14:textId="77A303E1" w:rsidR="0019403A" w:rsidRPr="0019403A" w:rsidRDefault="0019403A" w:rsidP="00606618">
      <w:pPr>
        <w:pStyle w:val="Proposal"/>
      </w:pPr>
      <w:bookmarkStart w:id="5" w:name="_Toc32527129"/>
      <w:r>
        <w:t xml:space="preserve">Up to 8 values may be configured by higher layer for </w:t>
      </w:r>
      <w:r w:rsidRPr="00CD0697">
        <w:rPr>
          <w:i/>
          <w:iCs/>
        </w:rPr>
        <w:t>timeGapFirstSidelinkTransmission</w:t>
      </w:r>
      <w:r w:rsidR="00606618">
        <w:t>, which indicate the number of SL (logical) slots. The field time gap in DCI format 3_0 has variable bitwidth that depends on the number of configured values.</w:t>
      </w:r>
      <w:bookmarkEnd w:id="5"/>
    </w:p>
    <w:p w14:paraId="1F938C15" w14:textId="6F76BE0F" w:rsidR="0019403A" w:rsidRPr="001F0DFF" w:rsidRDefault="00776D36" w:rsidP="001F0DFF">
      <w:pPr>
        <w:jc w:val="both"/>
        <w:rPr>
          <w:rFonts w:ascii="Arial" w:hAnsi="Arial" w:cs="Arial"/>
        </w:rPr>
      </w:pPr>
      <w:r w:rsidRPr="001F0DFF">
        <w:rPr>
          <w:rFonts w:ascii="Arial" w:hAnsi="Arial" w:cs="Arial"/>
        </w:rPr>
        <w:t>For HARQ process ID, we propose to use 4 bits.</w:t>
      </w:r>
    </w:p>
    <w:p w14:paraId="3E1ECDF5" w14:textId="54D3347B" w:rsidR="00776D36" w:rsidRDefault="00776D36" w:rsidP="00776D36">
      <w:pPr>
        <w:pStyle w:val="Proposal"/>
      </w:pPr>
      <w:bookmarkStart w:id="6" w:name="_Toc32527130"/>
      <w:r>
        <w:t>16 SL HARQ processes are defined. The field HARQ process ID in DCI format 3_0 consists of 4 bits.</w:t>
      </w:r>
      <w:bookmarkEnd w:id="6"/>
    </w:p>
    <w:p w14:paraId="2A0D4653" w14:textId="5DF420DD" w:rsidR="009E70AC" w:rsidRDefault="009E70AC" w:rsidP="001F0DFF">
      <w:pPr>
        <w:jc w:val="both"/>
        <w:rPr>
          <w:rFonts w:ascii="Arial" w:hAnsi="Arial" w:cs="Arial"/>
        </w:rPr>
      </w:pPr>
      <w:r>
        <w:rPr>
          <w:rFonts w:ascii="Arial" w:hAnsi="Arial" w:cs="Arial"/>
        </w:rPr>
        <w:t>RAN2#108 made the following working assumption</w:t>
      </w:r>
    </w:p>
    <w:tbl>
      <w:tblPr>
        <w:tblStyle w:val="TableGrid"/>
        <w:tblW w:w="0" w:type="auto"/>
        <w:tblLook w:val="04A0" w:firstRow="1" w:lastRow="0" w:firstColumn="1" w:lastColumn="0" w:noHBand="0" w:noVBand="1"/>
      </w:tblPr>
      <w:tblGrid>
        <w:gridCol w:w="9629"/>
      </w:tblGrid>
      <w:tr w:rsidR="009E70AC" w14:paraId="7425D768" w14:textId="77777777" w:rsidTr="009E70AC">
        <w:tc>
          <w:tcPr>
            <w:tcW w:w="9629" w:type="dxa"/>
          </w:tcPr>
          <w:p w14:paraId="78C9E367" w14:textId="43FB8611" w:rsidR="009E70AC" w:rsidRDefault="009E70AC" w:rsidP="009E70AC">
            <w:pPr>
              <w:spacing w:before="240"/>
              <w:jc w:val="both"/>
              <w:rPr>
                <w:rFonts w:ascii="Arial" w:hAnsi="Arial" w:cs="Arial"/>
              </w:rPr>
            </w:pPr>
            <w:r>
              <w:t>Up to 8 configured grants (including both configured grant type1 and type2) in mode1 can be configured and active for NR sidelink communication (working assumption). Running 38.321 will specify something like “[8]”</w:t>
            </w:r>
          </w:p>
        </w:tc>
      </w:tr>
    </w:tbl>
    <w:p w14:paraId="799DB259" w14:textId="46826456" w:rsidR="009E70AC" w:rsidRDefault="009E70AC" w:rsidP="009E70AC">
      <w:pPr>
        <w:spacing w:before="240"/>
        <w:jc w:val="both"/>
        <w:rPr>
          <w:rFonts w:ascii="Arial" w:hAnsi="Arial" w:cs="Arial"/>
        </w:rPr>
      </w:pPr>
      <w:r>
        <w:rPr>
          <w:rFonts w:ascii="Arial" w:hAnsi="Arial" w:cs="Arial"/>
        </w:rPr>
        <w:t>Based on this, a 3-bit field is necessary in DCI.</w:t>
      </w:r>
    </w:p>
    <w:p w14:paraId="641BC502" w14:textId="526805AF" w:rsidR="001F0DFF" w:rsidRPr="0019403A" w:rsidRDefault="001F0DFF" w:rsidP="001F0DFF">
      <w:pPr>
        <w:pStyle w:val="Proposal"/>
      </w:pPr>
      <w:bookmarkStart w:id="7" w:name="_Toc32527131"/>
      <w:r>
        <w:t>The field ‘Configuration index’ consists of 3 bits, when applicable.</w:t>
      </w:r>
      <w:bookmarkEnd w:id="7"/>
    </w:p>
    <w:p w14:paraId="753EE947" w14:textId="5B7EF527" w:rsidR="00CE0BAD" w:rsidRDefault="00D13745" w:rsidP="00CE0BAD">
      <w:pPr>
        <w:pStyle w:val="Heading2"/>
      </w:pPr>
      <w:r>
        <w:lastRenderedPageBreak/>
        <w:t>3</w:t>
      </w:r>
      <w:r w:rsidR="00CE0BAD">
        <w:t>.</w:t>
      </w:r>
      <w:r w:rsidR="0019403A">
        <w:t>2</w:t>
      </w:r>
      <w:r w:rsidR="00CE0BAD">
        <w:tab/>
        <w:t>Size alignment</w:t>
      </w:r>
    </w:p>
    <w:tbl>
      <w:tblPr>
        <w:tblStyle w:val="TableGrid"/>
        <w:tblW w:w="0" w:type="auto"/>
        <w:jc w:val="center"/>
        <w:tblLook w:val="04A0" w:firstRow="1" w:lastRow="0" w:firstColumn="1" w:lastColumn="0" w:noHBand="0" w:noVBand="1"/>
      </w:tblPr>
      <w:tblGrid>
        <w:gridCol w:w="2407"/>
        <w:gridCol w:w="2407"/>
        <w:gridCol w:w="2407"/>
        <w:gridCol w:w="2408"/>
      </w:tblGrid>
      <w:tr w:rsidR="00CE0BAD" w:rsidRPr="0035614E" w14:paraId="6BED0995" w14:textId="77777777" w:rsidTr="006064E6">
        <w:trPr>
          <w:jc w:val="center"/>
        </w:trPr>
        <w:tc>
          <w:tcPr>
            <w:tcW w:w="4814" w:type="dxa"/>
            <w:gridSpan w:val="2"/>
          </w:tcPr>
          <w:p w14:paraId="09883106" w14:textId="77777777" w:rsidR="00CE0BAD" w:rsidRPr="0035614E" w:rsidRDefault="00CE0BAD" w:rsidP="006064E6">
            <w:pPr>
              <w:spacing w:after="240"/>
              <w:jc w:val="center"/>
              <w:rPr>
                <w:rFonts w:ascii="Arial" w:hAnsi="Arial" w:cs="Arial"/>
                <w:b/>
                <w:sz w:val="20"/>
                <w:szCs w:val="20"/>
              </w:rPr>
            </w:pPr>
            <w:r w:rsidRPr="0035614E">
              <w:rPr>
                <w:rFonts w:ascii="Arial" w:hAnsi="Arial" w:cs="Arial"/>
                <w:b/>
                <w:sz w:val="20"/>
                <w:szCs w:val="20"/>
              </w:rPr>
              <w:t>Field</w:t>
            </w:r>
          </w:p>
        </w:tc>
        <w:tc>
          <w:tcPr>
            <w:tcW w:w="2407" w:type="dxa"/>
          </w:tcPr>
          <w:p w14:paraId="48CD59C4" w14:textId="77777777" w:rsidR="00CE0BAD" w:rsidRPr="0035614E" w:rsidRDefault="00CE0BAD" w:rsidP="006064E6">
            <w:pPr>
              <w:spacing w:after="240"/>
              <w:jc w:val="center"/>
              <w:rPr>
                <w:rFonts w:ascii="Arial" w:hAnsi="Arial" w:cs="Arial"/>
                <w:b/>
                <w:sz w:val="20"/>
                <w:szCs w:val="20"/>
              </w:rPr>
            </w:pPr>
            <w:r w:rsidRPr="0035614E">
              <w:rPr>
                <w:rFonts w:ascii="Arial" w:hAnsi="Arial" w:cs="Arial"/>
                <w:b/>
                <w:sz w:val="20"/>
                <w:szCs w:val="20"/>
              </w:rPr>
              <w:t>Format 0-0</w:t>
            </w:r>
          </w:p>
        </w:tc>
        <w:tc>
          <w:tcPr>
            <w:tcW w:w="2408" w:type="dxa"/>
          </w:tcPr>
          <w:p w14:paraId="08F9A2F3" w14:textId="77777777" w:rsidR="00CE0BAD" w:rsidRPr="0035614E" w:rsidRDefault="00CE0BAD" w:rsidP="006064E6">
            <w:pPr>
              <w:spacing w:after="240"/>
              <w:jc w:val="center"/>
              <w:rPr>
                <w:rFonts w:ascii="Arial" w:hAnsi="Arial" w:cs="Arial"/>
                <w:b/>
                <w:sz w:val="20"/>
                <w:szCs w:val="20"/>
              </w:rPr>
            </w:pPr>
            <w:r w:rsidRPr="0035614E">
              <w:rPr>
                <w:rFonts w:ascii="Arial" w:hAnsi="Arial" w:cs="Arial"/>
                <w:b/>
                <w:sz w:val="20"/>
                <w:szCs w:val="20"/>
              </w:rPr>
              <w:t>Format 0-1</w:t>
            </w:r>
          </w:p>
        </w:tc>
      </w:tr>
      <w:tr w:rsidR="00CE0BAD" w:rsidRPr="0035614E" w14:paraId="7135AC4D" w14:textId="77777777" w:rsidTr="006064E6">
        <w:trPr>
          <w:jc w:val="center"/>
        </w:trPr>
        <w:tc>
          <w:tcPr>
            <w:tcW w:w="2407" w:type="dxa"/>
          </w:tcPr>
          <w:p w14:paraId="7F959A01" w14:textId="77777777" w:rsidR="00CE0BAD" w:rsidRPr="0035614E" w:rsidRDefault="00CE0BAD" w:rsidP="006064E6">
            <w:pPr>
              <w:rPr>
                <w:rFonts w:ascii="Arial" w:hAnsi="Arial" w:cs="Arial"/>
                <w:b/>
                <w:sz w:val="20"/>
                <w:szCs w:val="20"/>
              </w:rPr>
            </w:pPr>
            <w:r w:rsidRPr="0035614E">
              <w:rPr>
                <w:rFonts w:ascii="Arial" w:hAnsi="Arial" w:cs="Arial"/>
                <w:b/>
                <w:sz w:val="20"/>
                <w:szCs w:val="20"/>
              </w:rPr>
              <w:t>Identifier</w:t>
            </w:r>
          </w:p>
        </w:tc>
        <w:tc>
          <w:tcPr>
            <w:tcW w:w="2407" w:type="dxa"/>
          </w:tcPr>
          <w:p w14:paraId="29420263" w14:textId="77777777" w:rsidR="00CE0BAD" w:rsidRPr="0035614E" w:rsidRDefault="00CE0BAD" w:rsidP="006064E6">
            <w:pPr>
              <w:rPr>
                <w:rFonts w:ascii="Arial" w:hAnsi="Arial" w:cs="Arial"/>
                <w:sz w:val="20"/>
                <w:szCs w:val="20"/>
              </w:rPr>
            </w:pPr>
          </w:p>
        </w:tc>
        <w:tc>
          <w:tcPr>
            <w:tcW w:w="2407" w:type="dxa"/>
          </w:tcPr>
          <w:p w14:paraId="64626AB3"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1 bit</w:t>
            </w:r>
          </w:p>
        </w:tc>
        <w:tc>
          <w:tcPr>
            <w:tcW w:w="2408" w:type="dxa"/>
          </w:tcPr>
          <w:p w14:paraId="2EA453F5"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1 bit</w:t>
            </w:r>
          </w:p>
        </w:tc>
      </w:tr>
      <w:tr w:rsidR="00CE0BAD" w:rsidRPr="0035614E" w14:paraId="5E6B481F" w14:textId="77777777" w:rsidTr="006064E6">
        <w:trPr>
          <w:jc w:val="center"/>
        </w:trPr>
        <w:tc>
          <w:tcPr>
            <w:tcW w:w="2407" w:type="dxa"/>
            <w:vMerge w:val="restart"/>
          </w:tcPr>
          <w:p w14:paraId="331FFF0F" w14:textId="77777777" w:rsidR="00CE0BAD" w:rsidRPr="0035614E" w:rsidRDefault="00CE0BAD" w:rsidP="006064E6">
            <w:pPr>
              <w:rPr>
                <w:rFonts w:ascii="Arial" w:hAnsi="Arial" w:cs="Arial"/>
                <w:b/>
                <w:sz w:val="20"/>
                <w:szCs w:val="20"/>
              </w:rPr>
            </w:pPr>
            <w:r w:rsidRPr="0035614E">
              <w:rPr>
                <w:rFonts w:ascii="Arial" w:hAnsi="Arial" w:cs="Arial"/>
                <w:b/>
                <w:sz w:val="20"/>
                <w:szCs w:val="20"/>
              </w:rPr>
              <w:t>Resource information</w:t>
            </w:r>
          </w:p>
        </w:tc>
        <w:tc>
          <w:tcPr>
            <w:tcW w:w="2407" w:type="dxa"/>
          </w:tcPr>
          <w:p w14:paraId="6D88AA4E" w14:textId="77777777" w:rsidR="00CE0BAD" w:rsidRPr="0035614E" w:rsidRDefault="00CE0BAD" w:rsidP="006064E6">
            <w:pPr>
              <w:rPr>
                <w:rFonts w:ascii="Arial" w:hAnsi="Arial" w:cs="Arial"/>
                <w:sz w:val="20"/>
                <w:szCs w:val="20"/>
              </w:rPr>
            </w:pPr>
            <w:r w:rsidRPr="0035614E">
              <w:rPr>
                <w:rFonts w:ascii="Arial" w:hAnsi="Arial" w:cs="Arial"/>
                <w:sz w:val="20"/>
                <w:szCs w:val="20"/>
              </w:rPr>
              <w:t>CFI</w:t>
            </w:r>
          </w:p>
        </w:tc>
        <w:tc>
          <w:tcPr>
            <w:tcW w:w="2407" w:type="dxa"/>
          </w:tcPr>
          <w:p w14:paraId="2EFA5398"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w:t>
            </w:r>
          </w:p>
        </w:tc>
        <w:tc>
          <w:tcPr>
            <w:tcW w:w="2408" w:type="dxa"/>
          </w:tcPr>
          <w:p w14:paraId="5465BF5D"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 or 3 bits</w:t>
            </w:r>
          </w:p>
        </w:tc>
      </w:tr>
      <w:tr w:rsidR="00CE0BAD" w:rsidRPr="0035614E" w14:paraId="3AB3AFF2" w14:textId="77777777" w:rsidTr="006064E6">
        <w:trPr>
          <w:jc w:val="center"/>
        </w:trPr>
        <w:tc>
          <w:tcPr>
            <w:tcW w:w="2407" w:type="dxa"/>
            <w:vMerge/>
          </w:tcPr>
          <w:p w14:paraId="54BAB855" w14:textId="77777777" w:rsidR="00CE0BAD" w:rsidRPr="0035614E" w:rsidRDefault="00CE0BAD" w:rsidP="006064E6">
            <w:pPr>
              <w:rPr>
                <w:rFonts w:ascii="Arial" w:hAnsi="Arial" w:cs="Arial"/>
                <w:b/>
                <w:sz w:val="20"/>
                <w:szCs w:val="20"/>
              </w:rPr>
            </w:pPr>
          </w:p>
        </w:tc>
        <w:tc>
          <w:tcPr>
            <w:tcW w:w="2407" w:type="dxa"/>
          </w:tcPr>
          <w:p w14:paraId="1A3E8460" w14:textId="77777777" w:rsidR="00CE0BAD" w:rsidRPr="0035614E" w:rsidRDefault="00CE0BAD" w:rsidP="006064E6">
            <w:pPr>
              <w:rPr>
                <w:rFonts w:ascii="Arial" w:hAnsi="Arial" w:cs="Arial"/>
                <w:sz w:val="20"/>
                <w:szCs w:val="20"/>
              </w:rPr>
            </w:pPr>
            <w:r w:rsidRPr="0035614E">
              <w:rPr>
                <w:rFonts w:ascii="Arial" w:hAnsi="Arial" w:cs="Arial"/>
                <w:sz w:val="20"/>
                <w:szCs w:val="20"/>
              </w:rPr>
              <w:t>UL/SUL</w:t>
            </w:r>
          </w:p>
        </w:tc>
        <w:tc>
          <w:tcPr>
            <w:tcW w:w="2407" w:type="dxa"/>
          </w:tcPr>
          <w:p w14:paraId="6B691523"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 or 1 bit</w:t>
            </w:r>
          </w:p>
        </w:tc>
        <w:tc>
          <w:tcPr>
            <w:tcW w:w="2408" w:type="dxa"/>
          </w:tcPr>
          <w:p w14:paraId="395CDDBF"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 or 1 bit</w:t>
            </w:r>
          </w:p>
        </w:tc>
      </w:tr>
      <w:tr w:rsidR="00CE0BAD" w:rsidRPr="0035614E" w14:paraId="745D9787" w14:textId="77777777" w:rsidTr="006064E6">
        <w:trPr>
          <w:jc w:val="center"/>
        </w:trPr>
        <w:tc>
          <w:tcPr>
            <w:tcW w:w="2407" w:type="dxa"/>
            <w:vMerge/>
          </w:tcPr>
          <w:p w14:paraId="1A719C4D" w14:textId="77777777" w:rsidR="00CE0BAD" w:rsidRPr="0035614E" w:rsidRDefault="00CE0BAD" w:rsidP="006064E6">
            <w:pPr>
              <w:rPr>
                <w:rFonts w:ascii="Arial" w:hAnsi="Arial" w:cs="Arial"/>
                <w:b/>
                <w:sz w:val="20"/>
                <w:szCs w:val="20"/>
              </w:rPr>
            </w:pPr>
          </w:p>
        </w:tc>
        <w:tc>
          <w:tcPr>
            <w:tcW w:w="2407" w:type="dxa"/>
          </w:tcPr>
          <w:p w14:paraId="1385F118" w14:textId="77777777" w:rsidR="00CE0BAD" w:rsidRPr="0035614E" w:rsidRDefault="00CE0BAD" w:rsidP="006064E6">
            <w:pPr>
              <w:rPr>
                <w:rFonts w:ascii="Arial" w:hAnsi="Arial" w:cs="Arial"/>
                <w:sz w:val="20"/>
                <w:szCs w:val="20"/>
              </w:rPr>
            </w:pPr>
            <w:r w:rsidRPr="0035614E">
              <w:rPr>
                <w:rFonts w:ascii="Arial" w:hAnsi="Arial" w:cs="Arial"/>
                <w:sz w:val="20"/>
                <w:szCs w:val="20"/>
              </w:rPr>
              <w:t>BWP indicator</w:t>
            </w:r>
          </w:p>
        </w:tc>
        <w:tc>
          <w:tcPr>
            <w:tcW w:w="2407" w:type="dxa"/>
          </w:tcPr>
          <w:p w14:paraId="147EE543"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w:t>
            </w:r>
          </w:p>
        </w:tc>
        <w:tc>
          <w:tcPr>
            <w:tcW w:w="2408" w:type="dxa"/>
          </w:tcPr>
          <w:p w14:paraId="632DF003"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0-2 bits</w:t>
            </w:r>
          </w:p>
        </w:tc>
      </w:tr>
      <w:tr w:rsidR="00CE0BAD" w:rsidRPr="0035614E" w14:paraId="00867D56" w14:textId="77777777" w:rsidTr="006064E6">
        <w:trPr>
          <w:jc w:val="center"/>
        </w:trPr>
        <w:tc>
          <w:tcPr>
            <w:tcW w:w="2407" w:type="dxa"/>
            <w:vMerge/>
          </w:tcPr>
          <w:p w14:paraId="458AFA39" w14:textId="77777777" w:rsidR="00CE0BAD" w:rsidRPr="0035614E" w:rsidRDefault="00CE0BAD" w:rsidP="006064E6">
            <w:pPr>
              <w:rPr>
                <w:rFonts w:ascii="Arial" w:hAnsi="Arial" w:cs="Arial"/>
                <w:b/>
                <w:sz w:val="20"/>
                <w:szCs w:val="20"/>
              </w:rPr>
            </w:pPr>
          </w:p>
        </w:tc>
        <w:tc>
          <w:tcPr>
            <w:tcW w:w="2407" w:type="dxa"/>
          </w:tcPr>
          <w:p w14:paraId="7FAE30FF" w14:textId="77777777" w:rsidR="00CE0BAD" w:rsidRPr="0035614E" w:rsidRDefault="00CE0BAD" w:rsidP="006064E6">
            <w:pPr>
              <w:rPr>
                <w:rFonts w:ascii="Arial" w:hAnsi="Arial" w:cs="Arial"/>
                <w:sz w:val="20"/>
                <w:szCs w:val="20"/>
              </w:rPr>
            </w:pPr>
            <w:r w:rsidRPr="0035614E">
              <w:rPr>
                <w:rFonts w:ascii="Arial" w:hAnsi="Arial" w:cs="Arial"/>
                <w:sz w:val="20"/>
                <w:szCs w:val="20"/>
              </w:rPr>
              <w:t>Freq.-domain allocation</w:t>
            </w:r>
          </w:p>
        </w:tc>
        <w:tc>
          <w:tcPr>
            <w:tcW w:w="2407" w:type="dxa"/>
          </w:tcPr>
          <w:p w14:paraId="589AB41A"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Variable (only type 1)</w:t>
            </w:r>
          </w:p>
        </w:tc>
        <w:tc>
          <w:tcPr>
            <w:tcW w:w="2408" w:type="dxa"/>
          </w:tcPr>
          <w:p w14:paraId="41FC20E3"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variable</w:t>
            </w:r>
          </w:p>
        </w:tc>
      </w:tr>
      <w:tr w:rsidR="00CE0BAD" w:rsidRPr="0035614E" w14:paraId="00880EB6" w14:textId="77777777" w:rsidTr="006064E6">
        <w:trPr>
          <w:jc w:val="center"/>
        </w:trPr>
        <w:tc>
          <w:tcPr>
            <w:tcW w:w="2407" w:type="dxa"/>
            <w:vMerge/>
          </w:tcPr>
          <w:p w14:paraId="4282E9B0" w14:textId="77777777" w:rsidR="00CE0BAD" w:rsidRPr="0035614E" w:rsidRDefault="00CE0BAD" w:rsidP="006064E6">
            <w:pPr>
              <w:rPr>
                <w:rFonts w:ascii="Arial" w:hAnsi="Arial" w:cs="Arial"/>
                <w:b/>
                <w:sz w:val="20"/>
                <w:szCs w:val="20"/>
              </w:rPr>
            </w:pPr>
          </w:p>
        </w:tc>
        <w:tc>
          <w:tcPr>
            <w:tcW w:w="2407" w:type="dxa"/>
          </w:tcPr>
          <w:p w14:paraId="334BED8A" w14:textId="77777777" w:rsidR="00CE0BAD" w:rsidRPr="0035614E" w:rsidRDefault="00CE0BAD" w:rsidP="006064E6">
            <w:pPr>
              <w:rPr>
                <w:rFonts w:ascii="Arial" w:hAnsi="Arial" w:cs="Arial"/>
                <w:sz w:val="20"/>
                <w:szCs w:val="20"/>
              </w:rPr>
            </w:pPr>
            <w:r w:rsidRPr="0035614E">
              <w:rPr>
                <w:rFonts w:ascii="Arial" w:hAnsi="Arial" w:cs="Arial"/>
                <w:sz w:val="20"/>
                <w:szCs w:val="20"/>
              </w:rPr>
              <w:t>Time-domain allocation</w:t>
            </w:r>
          </w:p>
        </w:tc>
        <w:tc>
          <w:tcPr>
            <w:tcW w:w="2407" w:type="dxa"/>
          </w:tcPr>
          <w:p w14:paraId="02E49BF5"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0-4 bits</w:t>
            </w:r>
          </w:p>
        </w:tc>
        <w:tc>
          <w:tcPr>
            <w:tcW w:w="2408" w:type="dxa"/>
          </w:tcPr>
          <w:p w14:paraId="173FAACC"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0-4 bits</w:t>
            </w:r>
          </w:p>
        </w:tc>
      </w:tr>
      <w:tr w:rsidR="00CE0BAD" w:rsidRPr="0035614E" w14:paraId="14485A52" w14:textId="77777777" w:rsidTr="006064E6">
        <w:trPr>
          <w:jc w:val="center"/>
        </w:trPr>
        <w:tc>
          <w:tcPr>
            <w:tcW w:w="2407" w:type="dxa"/>
            <w:vMerge/>
          </w:tcPr>
          <w:p w14:paraId="7EA901E1" w14:textId="77777777" w:rsidR="00CE0BAD" w:rsidRPr="0035614E" w:rsidRDefault="00CE0BAD" w:rsidP="006064E6">
            <w:pPr>
              <w:rPr>
                <w:rFonts w:ascii="Arial" w:hAnsi="Arial" w:cs="Arial"/>
                <w:b/>
                <w:sz w:val="20"/>
                <w:szCs w:val="20"/>
              </w:rPr>
            </w:pPr>
          </w:p>
        </w:tc>
        <w:tc>
          <w:tcPr>
            <w:tcW w:w="2407" w:type="dxa"/>
          </w:tcPr>
          <w:p w14:paraId="34BA038F" w14:textId="77777777" w:rsidR="00CE0BAD" w:rsidRPr="0035614E" w:rsidRDefault="00CE0BAD" w:rsidP="006064E6">
            <w:pPr>
              <w:rPr>
                <w:rFonts w:ascii="Arial" w:hAnsi="Arial" w:cs="Arial"/>
                <w:sz w:val="20"/>
                <w:szCs w:val="20"/>
              </w:rPr>
            </w:pPr>
            <w:r w:rsidRPr="0035614E">
              <w:rPr>
                <w:rFonts w:ascii="Arial" w:hAnsi="Arial" w:cs="Arial"/>
                <w:sz w:val="20"/>
                <w:szCs w:val="20"/>
              </w:rPr>
              <w:t>Frequency hopping</w:t>
            </w:r>
          </w:p>
        </w:tc>
        <w:tc>
          <w:tcPr>
            <w:tcW w:w="2407" w:type="dxa"/>
          </w:tcPr>
          <w:p w14:paraId="5F275CD7"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 or 1 bit</w:t>
            </w:r>
          </w:p>
        </w:tc>
        <w:tc>
          <w:tcPr>
            <w:tcW w:w="2408" w:type="dxa"/>
          </w:tcPr>
          <w:p w14:paraId="0421806C"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 or 1 bit</w:t>
            </w:r>
          </w:p>
        </w:tc>
      </w:tr>
      <w:tr w:rsidR="00CE0BAD" w:rsidRPr="0035614E" w14:paraId="6DD3B9F9" w14:textId="77777777" w:rsidTr="006064E6">
        <w:trPr>
          <w:jc w:val="center"/>
        </w:trPr>
        <w:tc>
          <w:tcPr>
            <w:tcW w:w="2407" w:type="dxa"/>
            <w:vMerge w:val="restart"/>
          </w:tcPr>
          <w:p w14:paraId="36BDC046" w14:textId="77777777" w:rsidR="00CE0BAD" w:rsidRPr="0035614E" w:rsidRDefault="00CE0BAD" w:rsidP="006064E6">
            <w:pPr>
              <w:rPr>
                <w:rFonts w:ascii="Arial" w:hAnsi="Arial" w:cs="Arial"/>
                <w:b/>
                <w:sz w:val="20"/>
                <w:szCs w:val="20"/>
              </w:rPr>
            </w:pPr>
            <w:r w:rsidRPr="0035614E">
              <w:rPr>
                <w:rFonts w:ascii="Arial" w:hAnsi="Arial" w:cs="Arial"/>
                <w:b/>
                <w:sz w:val="20"/>
                <w:szCs w:val="20"/>
              </w:rPr>
              <w:t>TB-related</w:t>
            </w:r>
          </w:p>
        </w:tc>
        <w:tc>
          <w:tcPr>
            <w:tcW w:w="2407" w:type="dxa"/>
          </w:tcPr>
          <w:p w14:paraId="28861805" w14:textId="77777777" w:rsidR="00CE0BAD" w:rsidRPr="0035614E" w:rsidRDefault="00CE0BAD" w:rsidP="006064E6">
            <w:pPr>
              <w:rPr>
                <w:rFonts w:ascii="Arial" w:hAnsi="Arial" w:cs="Arial"/>
                <w:sz w:val="20"/>
                <w:szCs w:val="20"/>
              </w:rPr>
            </w:pPr>
            <w:r w:rsidRPr="0035614E">
              <w:rPr>
                <w:rFonts w:ascii="Arial" w:hAnsi="Arial" w:cs="Arial"/>
                <w:sz w:val="20"/>
                <w:szCs w:val="20"/>
              </w:rPr>
              <w:t>MCS</w:t>
            </w:r>
          </w:p>
        </w:tc>
        <w:tc>
          <w:tcPr>
            <w:tcW w:w="2407" w:type="dxa"/>
          </w:tcPr>
          <w:p w14:paraId="3B544272"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5 bits</w:t>
            </w:r>
          </w:p>
        </w:tc>
        <w:tc>
          <w:tcPr>
            <w:tcW w:w="2408" w:type="dxa"/>
          </w:tcPr>
          <w:p w14:paraId="2A85E5F5"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5 bits</w:t>
            </w:r>
          </w:p>
        </w:tc>
      </w:tr>
      <w:tr w:rsidR="00CE0BAD" w:rsidRPr="0035614E" w14:paraId="653252E3" w14:textId="77777777" w:rsidTr="006064E6">
        <w:trPr>
          <w:jc w:val="center"/>
        </w:trPr>
        <w:tc>
          <w:tcPr>
            <w:tcW w:w="2407" w:type="dxa"/>
            <w:vMerge/>
          </w:tcPr>
          <w:p w14:paraId="6E927AB8" w14:textId="77777777" w:rsidR="00CE0BAD" w:rsidRPr="0035614E" w:rsidRDefault="00CE0BAD" w:rsidP="006064E6">
            <w:pPr>
              <w:rPr>
                <w:rFonts w:ascii="Arial" w:hAnsi="Arial" w:cs="Arial"/>
                <w:b/>
                <w:sz w:val="20"/>
                <w:szCs w:val="20"/>
              </w:rPr>
            </w:pPr>
          </w:p>
        </w:tc>
        <w:tc>
          <w:tcPr>
            <w:tcW w:w="2407" w:type="dxa"/>
          </w:tcPr>
          <w:p w14:paraId="047AC907" w14:textId="77777777" w:rsidR="00CE0BAD" w:rsidRPr="0035614E" w:rsidRDefault="00CE0BAD" w:rsidP="006064E6">
            <w:pPr>
              <w:rPr>
                <w:rFonts w:ascii="Arial" w:hAnsi="Arial" w:cs="Arial"/>
                <w:sz w:val="20"/>
                <w:szCs w:val="20"/>
              </w:rPr>
            </w:pPr>
            <w:r w:rsidRPr="0035614E">
              <w:rPr>
                <w:rFonts w:ascii="Arial" w:hAnsi="Arial" w:cs="Arial"/>
                <w:sz w:val="20"/>
                <w:szCs w:val="20"/>
              </w:rPr>
              <w:t>NDI</w:t>
            </w:r>
          </w:p>
        </w:tc>
        <w:tc>
          <w:tcPr>
            <w:tcW w:w="2407" w:type="dxa"/>
          </w:tcPr>
          <w:p w14:paraId="757EBF79"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1 bit</w:t>
            </w:r>
          </w:p>
        </w:tc>
        <w:tc>
          <w:tcPr>
            <w:tcW w:w="2408" w:type="dxa"/>
          </w:tcPr>
          <w:p w14:paraId="1A846C10"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1 bit</w:t>
            </w:r>
          </w:p>
        </w:tc>
      </w:tr>
      <w:tr w:rsidR="00CE0BAD" w:rsidRPr="0035614E" w14:paraId="391AE595" w14:textId="77777777" w:rsidTr="006064E6">
        <w:trPr>
          <w:jc w:val="center"/>
        </w:trPr>
        <w:tc>
          <w:tcPr>
            <w:tcW w:w="2407" w:type="dxa"/>
            <w:vMerge/>
          </w:tcPr>
          <w:p w14:paraId="56A2CDB1" w14:textId="77777777" w:rsidR="00CE0BAD" w:rsidRPr="0035614E" w:rsidRDefault="00CE0BAD" w:rsidP="006064E6">
            <w:pPr>
              <w:rPr>
                <w:rFonts w:ascii="Arial" w:hAnsi="Arial" w:cs="Arial"/>
                <w:b/>
                <w:sz w:val="20"/>
                <w:szCs w:val="20"/>
              </w:rPr>
            </w:pPr>
          </w:p>
        </w:tc>
        <w:tc>
          <w:tcPr>
            <w:tcW w:w="2407" w:type="dxa"/>
          </w:tcPr>
          <w:p w14:paraId="3EB9E979" w14:textId="77777777" w:rsidR="00CE0BAD" w:rsidRPr="0035614E" w:rsidRDefault="00CE0BAD" w:rsidP="006064E6">
            <w:pPr>
              <w:rPr>
                <w:rFonts w:ascii="Arial" w:hAnsi="Arial" w:cs="Arial"/>
                <w:sz w:val="20"/>
                <w:szCs w:val="20"/>
              </w:rPr>
            </w:pPr>
            <w:r w:rsidRPr="0035614E">
              <w:rPr>
                <w:rFonts w:ascii="Arial" w:hAnsi="Arial" w:cs="Arial"/>
                <w:sz w:val="20"/>
                <w:szCs w:val="20"/>
              </w:rPr>
              <w:t>RV</w:t>
            </w:r>
          </w:p>
        </w:tc>
        <w:tc>
          <w:tcPr>
            <w:tcW w:w="2407" w:type="dxa"/>
          </w:tcPr>
          <w:p w14:paraId="7D3EAF8E"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2 bis</w:t>
            </w:r>
          </w:p>
        </w:tc>
        <w:tc>
          <w:tcPr>
            <w:tcW w:w="2408" w:type="dxa"/>
          </w:tcPr>
          <w:p w14:paraId="68E1CA4D"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2 bis</w:t>
            </w:r>
          </w:p>
        </w:tc>
      </w:tr>
      <w:tr w:rsidR="00CE0BAD" w:rsidRPr="0035614E" w14:paraId="1128A6E7" w14:textId="77777777" w:rsidTr="006064E6">
        <w:trPr>
          <w:jc w:val="center"/>
        </w:trPr>
        <w:tc>
          <w:tcPr>
            <w:tcW w:w="2407" w:type="dxa"/>
            <w:vMerge w:val="restart"/>
          </w:tcPr>
          <w:p w14:paraId="57E65766" w14:textId="77777777" w:rsidR="00CE0BAD" w:rsidRPr="0035614E" w:rsidRDefault="00CE0BAD" w:rsidP="006064E6">
            <w:pPr>
              <w:rPr>
                <w:rFonts w:ascii="Arial" w:hAnsi="Arial" w:cs="Arial"/>
                <w:b/>
                <w:sz w:val="20"/>
                <w:szCs w:val="20"/>
              </w:rPr>
            </w:pPr>
            <w:r w:rsidRPr="0035614E">
              <w:rPr>
                <w:rFonts w:ascii="Arial" w:hAnsi="Arial" w:cs="Arial"/>
                <w:b/>
                <w:sz w:val="20"/>
                <w:szCs w:val="20"/>
              </w:rPr>
              <w:t>HARQ-related</w:t>
            </w:r>
          </w:p>
        </w:tc>
        <w:tc>
          <w:tcPr>
            <w:tcW w:w="2407" w:type="dxa"/>
          </w:tcPr>
          <w:p w14:paraId="3AB3CED4" w14:textId="77777777" w:rsidR="00CE0BAD" w:rsidRPr="0035614E" w:rsidRDefault="00CE0BAD" w:rsidP="006064E6">
            <w:pPr>
              <w:rPr>
                <w:rFonts w:ascii="Arial" w:hAnsi="Arial" w:cs="Arial"/>
                <w:sz w:val="20"/>
                <w:szCs w:val="20"/>
              </w:rPr>
            </w:pPr>
            <w:r w:rsidRPr="0035614E">
              <w:rPr>
                <w:rFonts w:ascii="Arial" w:hAnsi="Arial" w:cs="Arial"/>
                <w:sz w:val="20"/>
                <w:szCs w:val="20"/>
              </w:rPr>
              <w:t>Process number</w:t>
            </w:r>
          </w:p>
        </w:tc>
        <w:tc>
          <w:tcPr>
            <w:tcW w:w="2407" w:type="dxa"/>
          </w:tcPr>
          <w:p w14:paraId="1F126EA3"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4 bits</w:t>
            </w:r>
          </w:p>
        </w:tc>
        <w:tc>
          <w:tcPr>
            <w:tcW w:w="2408" w:type="dxa"/>
          </w:tcPr>
          <w:p w14:paraId="212B31F7"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4 bits</w:t>
            </w:r>
          </w:p>
        </w:tc>
      </w:tr>
      <w:tr w:rsidR="00CE0BAD" w:rsidRPr="0035614E" w14:paraId="42EE47C1" w14:textId="77777777" w:rsidTr="006064E6">
        <w:trPr>
          <w:jc w:val="center"/>
        </w:trPr>
        <w:tc>
          <w:tcPr>
            <w:tcW w:w="2407" w:type="dxa"/>
            <w:vMerge/>
          </w:tcPr>
          <w:p w14:paraId="5F979B0C" w14:textId="77777777" w:rsidR="00CE0BAD" w:rsidRPr="0035614E" w:rsidRDefault="00CE0BAD" w:rsidP="006064E6">
            <w:pPr>
              <w:rPr>
                <w:rFonts w:ascii="Arial" w:hAnsi="Arial" w:cs="Arial"/>
                <w:b/>
                <w:sz w:val="20"/>
                <w:szCs w:val="20"/>
              </w:rPr>
            </w:pPr>
          </w:p>
        </w:tc>
        <w:tc>
          <w:tcPr>
            <w:tcW w:w="2407" w:type="dxa"/>
          </w:tcPr>
          <w:p w14:paraId="5623FEDD" w14:textId="77777777" w:rsidR="00CE0BAD" w:rsidRPr="0035614E" w:rsidRDefault="00CE0BAD" w:rsidP="006064E6">
            <w:pPr>
              <w:rPr>
                <w:rFonts w:ascii="Arial" w:hAnsi="Arial" w:cs="Arial"/>
                <w:sz w:val="20"/>
                <w:szCs w:val="20"/>
              </w:rPr>
            </w:pPr>
            <w:r w:rsidRPr="0035614E">
              <w:rPr>
                <w:rFonts w:ascii="Arial" w:hAnsi="Arial" w:cs="Arial"/>
                <w:sz w:val="20"/>
                <w:szCs w:val="20"/>
              </w:rPr>
              <w:t>DAI</w:t>
            </w:r>
          </w:p>
        </w:tc>
        <w:tc>
          <w:tcPr>
            <w:tcW w:w="2407" w:type="dxa"/>
          </w:tcPr>
          <w:p w14:paraId="3DF54684"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w:t>
            </w:r>
          </w:p>
        </w:tc>
        <w:tc>
          <w:tcPr>
            <w:tcW w:w="2408" w:type="dxa"/>
          </w:tcPr>
          <w:p w14:paraId="059F14D1"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1-4 bits</w:t>
            </w:r>
          </w:p>
        </w:tc>
      </w:tr>
      <w:tr w:rsidR="00CE0BAD" w:rsidRPr="0035614E" w14:paraId="2415CD6C" w14:textId="77777777" w:rsidTr="006064E6">
        <w:trPr>
          <w:jc w:val="center"/>
        </w:trPr>
        <w:tc>
          <w:tcPr>
            <w:tcW w:w="2407" w:type="dxa"/>
            <w:vMerge/>
          </w:tcPr>
          <w:p w14:paraId="4A4388EF" w14:textId="77777777" w:rsidR="00CE0BAD" w:rsidRPr="0035614E" w:rsidRDefault="00CE0BAD" w:rsidP="006064E6">
            <w:pPr>
              <w:rPr>
                <w:rFonts w:ascii="Arial" w:hAnsi="Arial" w:cs="Arial"/>
                <w:b/>
                <w:sz w:val="20"/>
                <w:szCs w:val="20"/>
              </w:rPr>
            </w:pPr>
          </w:p>
        </w:tc>
        <w:tc>
          <w:tcPr>
            <w:tcW w:w="2407" w:type="dxa"/>
          </w:tcPr>
          <w:p w14:paraId="1BE92027" w14:textId="77777777" w:rsidR="00CE0BAD" w:rsidRPr="0035614E" w:rsidRDefault="00CE0BAD" w:rsidP="006064E6">
            <w:pPr>
              <w:rPr>
                <w:rFonts w:ascii="Arial" w:hAnsi="Arial" w:cs="Arial"/>
                <w:sz w:val="20"/>
                <w:szCs w:val="20"/>
              </w:rPr>
            </w:pPr>
            <w:r w:rsidRPr="0035614E">
              <w:rPr>
                <w:rFonts w:ascii="Arial" w:hAnsi="Arial" w:cs="Arial"/>
                <w:sz w:val="20"/>
                <w:szCs w:val="20"/>
              </w:rPr>
              <w:t>CBGTI</w:t>
            </w:r>
          </w:p>
        </w:tc>
        <w:tc>
          <w:tcPr>
            <w:tcW w:w="2407" w:type="dxa"/>
          </w:tcPr>
          <w:p w14:paraId="59833E26"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w:t>
            </w:r>
          </w:p>
        </w:tc>
        <w:tc>
          <w:tcPr>
            <w:tcW w:w="2408" w:type="dxa"/>
          </w:tcPr>
          <w:p w14:paraId="1AF42AAC"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 2, 4, or 6 bits</w:t>
            </w:r>
          </w:p>
        </w:tc>
      </w:tr>
      <w:tr w:rsidR="00CE0BAD" w:rsidRPr="0035614E" w14:paraId="345758E1" w14:textId="77777777" w:rsidTr="006064E6">
        <w:trPr>
          <w:jc w:val="center"/>
        </w:trPr>
        <w:tc>
          <w:tcPr>
            <w:tcW w:w="2407" w:type="dxa"/>
            <w:vMerge w:val="restart"/>
          </w:tcPr>
          <w:p w14:paraId="73765FE7" w14:textId="77777777" w:rsidR="00CE0BAD" w:rsidRPr="0035614E" w:rsidRDefault="00CE0BAD" w:rsidP="006064E6">
            <w:pPr>
              <w:rPr>
                <w:rFonts w:ascii="Arial" w:hAnsi="Arial" w:cs="Arial"/>
                <w:b/>
                <w:sz w:val="20"/>
                <w:szCs w:val="20"/>
              </w:rPr>
            </w:pPr>
            <w:r w:rsidRPr="0035614E">
              <w:rPr>
                <w:rFonts w:ascii="Arial" w:hAnsi="Arial" w:cs="Arial"/>
                <w:b/>
                <w:sz w:val="20"/>
                <w:szCs w:val="20"/>
              </w:rPr>
              <w:t>Multi-antenna related</w:t>
            </w:r>
          </w:p>
        </w:tc>
        <w:tc>
          <w:tcPr>
            <w:tcW w:w="2407" w:type="dxa"/>
          </w:tcPr>
          <w:p w14:paraId="1F4A1F8D" w14:textId="77777777" w:rsidR="00CE0BAD" w:rsidRPr="0035614E" w:rsidRDefault="00CE0BAD" w:rsidP="006064E6">
            <w:pPr>
              <w:rPr>
                <w:rFonts w:ascii="Arial" w:hAnsi="Arial" w:cs="Arial"/>
                <w:sz w:val="20"/>
                <w:szCs w:val="20"/>
              </w:rPr>
            </w:pPr>
            <w:r w:rsidRPr="0035614E">
              <w:rPr>
                <w:rFonts w:ascii="Arial" w:hAnsi="Arial" w:cs="Arial"/>
                <w:sz w:val="20"/>
                <w:szCs w:val="20"/>
              </w:rPr>
              <w:t>DMRS seq initialization</w:t>
            </w:r>
          </w:p>
        </w:tc>
        <w:tc>
          <w:tcPr>
            <w:tcW w:w="2407" w:type="dxa"/>
          </w:tcPr>
          <w:p w14:paraId="79A916CC"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w:t>
            </w:r>
          </w:p>
        </w:tc>
        <w:tc>
          <w:tcPr>
            <w:tcW w:w="2408" w:type="dxa"/>
          </w:tcPr>
          <w:p w14:paraId="66DC8140"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1 bit</w:t>
            </w:r>
          </w:p>
        </w:tc>
      </w:tr>
      <w:tr w:rsidR="00CE0BAD" w:rsidRPr="0035614E" w14:paraId="13AFC6D4" w14:textId="77777777" w:rsidTr="006064E6">
        <w:trPr>
          <w:jc w:val="center"/>
        </w:trPr>
        <w:tc>
          <w:tcPr>
            <w:tcW w:w="2407" w:type="dxa"/>
            <w:vMerge/>
          </w:tcPr>
          <w:p w14:paraId="15F98768" w14:textId="77777777" w:rsidR="00CE0BAD" w:rsidRPr="0035614E" w:rsidRDefault="00CE0BAD" w:rsidP="006064E6">
            <w:pPr>
              <w:rPr>
                <w:rFonts w:ascii="Arial" w:hAnsi="Arial" w:cs="Arial"/>
                <w:b/>
                <w:sz w:val="20"/>
                <w:szCs w:val="20"/>
              </w:rPr>
            </w:pPr>
          </w:p>
        </w:tc>
        <w:tc>
          <w:tcPr>
            <w:tcW w:w="2407" w:type="dxa"/>
          </w:tcPr>
          <w:p w14:paraId="20CC6831" w14:textId="77777777" w:rsidR="00CE0BAD" w:rsidRPr="0035614E" w:rsidRDefault="00CE0BAD" w:rsidP="006064E6">
            <w:pPr>
              <w:rPr>
                <w:rFonts w:ascii="Arial" w:hAnsi="Arial" w:cs="Arial"/>
                <w:sz w:val="20"/>
                <w:szCs w:val="20"/>
              </w:rPr>
            </w:pPr>
            <w:r w:rsidRPr="0035614E">
              <w:rPr>
                <w:rFonts w:ascii="Arial" w:hAnsi="Arial" w:cs="Arial"/>
                <w:sz w:val="20"/>
                <w:szCs w:val="20"/>
              </w:rPr>
              <w:t>Antenna ports</w:t>
            </w:r>
          </w:p>
        </w:tc>
        <w:tc>
          <w:tcPr>
            <w:tcW w:w="2407" w:type="dxa"/>
          </w:tcPr>
          <w:p w14:paraId="5CC5D73F"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w:t>
            </w:r>
          </w:p>
        </w:tc>
        <w:tc>
          <w:tcPr>
            <w:tcW w:w="2408" w:type="dxa"/>
          </w:tcPr>
          <w:p w14:paraId="2CDF759D"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2-5 bits</w:t>
            </w:r>
          </w:p>
        </w:tc>
      </w:tr>
      <w:tr w:rsidR="00CE0BAD" w:rsidRPr="0035614E" w14:paraId="0F1C3828" w14:textId="77777777" w:rsidTr="006064E6">
        <w:trPr>
          <w:jc w:val="center"/>
        </w:trPr>
        <w:tc>
          <w:tcPr>
            <w:tcW w:w="2407" w:type="dxa"/>
            <w:vMerge/>
          </w:tcPr>
          <w:p w14:paraId="596B6EBB" w14:textId="77777777" w:rsidR="00CE0BAD" w:rsidRPr="0035614E" w:rsidRDefault="00CE0BAD" w:rsidP="006064E6">
            <w:pPr>
              <w:rPr>
                <w:rFonts w:ascii="Arial" w:hAnsi="Arial" w:cs="Arial"/>
                <w:b/>
                <w:sz w:val="20"/>
                <w:szCs w:val="20"/>
              </w:rPr>
            </w:pPr>
          </w:p>
        </w:tc>
        <w:tc>
          <w:tcPr>
            <w:tcW w:w="2407" w:type="dxa"/>
          </w:tcPr>
          <w:p w14:paraId="0983F339" w14:textId="77777777" w:rsidR="00CE0BAD" w:rsidRPr="0035614E" w:rsidRDefault="00CE0BAD" w:rsidP="006064E6">
            <w:pPr>
              <w:rPr>
                <w:rFonts w:ascii="Arial" w:hAnsi="Arial" w:cs="Arial"/>
                <w:sz w:val="20"/>
                <w:szCs w:val="20"/>
              </w:rPr>
            </w:pPr>
            <w:r w:rsidRPr="0035614E">
              <w:rPr>
                <w:rFonts w:ascii="Arial" w:hAnsi="Arial" w:cs="Arial"/>
                <w:sz w:val="20"/>
                <w:szCs w:val="20"/>
              </w:rPr>
              <w:t>SRI</w:t>
            </w:r>
          </w:p>
        </w:tc>
        <w:tc>
          <w:tcPr>
            <w:tcW w:w="2407" w:type="dxa"/>
          </w:tcPr>
          <w:p w14:paraId="26168BC7"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w:t>
            </w:r>
          </w:p>
        </w:tc>
        <w:tc>
          <w:tcPr>
            <w:tcW w:w="2408" w:type="dxa"/>
          </w:tcPr>
          <w:p w14:paraId="49FD225D"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Variable</w:t>
            </w:r>
          </w:p>
        </w:tc>
      </w:tr>
      <w:tr w:rsidR="00CE0BAD" w:rsidRPr="0035614E" w14:paraId="58C60C7F" w14:textId="77777777" w:rsidTr="006064E6">
        <w:trPr>
          <w:jc w:val="center"/>
        </w:trPr>
        <w:tc>
          <w:tcPr>
            <w:tcW w:w="2407" w:type="dxa"/>
            <w:vMerge/>
          </w:tcPr>
          <w:p w14:paraId="48A31F5D" w14:textId="77777777" w:rsidR="00CE0BAD" w:rsidRPr="0035614E" w:rsidRDefault="00CE0BAD" w:rsidP="006064E6">
            <w:pPr>
              <w:rPr>
                <w:rFonts w:ascii="Arial" w:hAnsi="Arial" w:cs="Arial"/>
                <w:b/>
                <w:sz w:val="20"/>
                <w:szCs w:val="20"/>
              </w:rPr>
            </w:pPr>
          </w:p>
        </w:tc>
        <w:tc>
          <w:tcPr>
            <w:tcW w:w="2407" w:type="dxa"/>
          </w:tcPr>
          <w:p w14:paraId="34F6FB8B" w14:textId="77777777" w:rsidR="00CE0BAD" w:rsidRPr="0035614E" w:rsidRDefault="00CE0BAD" w:rsidP="006064E6">
            <w:pPr>
              <w:rPr>
                <w:rFonts w:ascii="Arial" w:hAnsi="Arial" w:cs="Arial"/>
                <w:sz w:val="20"/>
                <w:szCs w:val="20"/>
              </w:rPr>
            </w:pPr>
            <w:r w:rsidRPr="0035614E">
              <w:rPr>
                <w:rFonts w:ascii="Arial" w:hAnsi="Arial" w:cs="Arial"/>
                <w:sz w:val="20"/>
                <w:szCs w:val="20"/>
              </w:rPr>
              <w:t>Precoding information</w:t>
            </w:r>
          </w:p>
        </w:tc>
        <w:tc>
          <w:tcPr>
            <w:tcW w:w="2407" w:type="dxa"/>
          </w:tcPr>
          <w:p w14:paraId="021CC54A"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w:t>
            </w:r>
          </w:p>
        </w:tc>
        <w:tc>
          <w:tcPr>
            <w:tcW w:w="2408" w:type="dxa"/>
          </w:tcPr>
          <w:p w14:paraId="24C9476E"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0-6 bits</w:t>
            </w:r>
          </w:p>
        </w:tc>
      </w:tr>
      <w:tr w:rsidR="00CE0BAD" w:rsidRPr="0035614E" w14:paraId="33D6516D" w14:textId="77777777" w:rsidTr="006064E6">
        <w:trPr>
          <w:jc w:val="center"/>
        </w:trPr>
        <w:tc>
          <w:tcPr>
            <w:tcW w:w="2407" w:type="dxa"/>
            <w:vMerge/>
          </w:tcPr>
          <w:p w14:paraId="40DA4432" w14:textId="77777777" w:rsidR="00CE0BAD" w:rsidRPr="0035614E" w:rsidRDefault="00CE0BAD" w:rsidP="006064E6">
            <w:pPr>
              <w:rPr>
                <w:rFonts w:ascii="Arial" w:hAnsi="Arial" w:cs="Arial"/>
                <w:b/>
                <w:sz w:val="20"/>
                <w:szCs w:val="20"/>
              </w:rPr>
            </w:pPr>
          </w:p>
        </w:tc>
        <w:tc>
          <w:tcPr>
            <w:tcW w:w="2407" w:type="dxa"/>
          </w:tcPr>
          <w:p w14:paraId="107706C3" w14:textId="77777777" w:rsidR="00CE0BAD" w:rsidRPr="0035614E" w:rsidRDefault="00CE0BAD" w:rsidP="006064E6">
            <w:pPr>
              <w:rPr>
                <w:rFonts w:ascii="Arial" w:hAnsi="Arial" w:cs="Arial"/>
                <w:sz w:val="20"/>
                <w:szCs w:val="20"/>
              </w:rPr>
            </w:pPr>
            <w:r w:rsidRPr="0035614E">
              <w:rPr>
                <w:rFonts w:ascii="Arial" w:hAnsi="Arial" w:cs="Arial"/>
                <w:sz w:val="20"/>
                <w:szCs w:val="20"/>
              </w:rPr>
              <w:t>PTRS-DMRS assoc.</w:t>
            </w:r>
          </w:p>
        </w:tc>
        <w:tc>
          <w:tcPr>
            <w:tcW w:w="2407" w:type="dxa"/>
          </w:tcPr>
          <w:p w14:paraId="414B1D17"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w:t>
            </w:r>
          </w:p>
        </w:tc>
        <w:tc>
          <w:tcPr>
            <w:tcW w:w="2408" w:type="dxa"/>
          </w:tcPr>
          <w:p w14:paraId="79A7C24F"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 or 2 bits</w:t>
            </w:r>
          </w:p>
        </w:tc>
      </w:tr>
      <w:tr w:rsidR="00CE0BAD" w:rsidRPr="0035614E" w14:paraId="6A3E01F1" w14:textId="77777777" w:rsidTr="006064E6">
        <w:trPr>
          <w:jc w:val="center"/>
        </w:trPr>
        <w:tc>
          <w:tcPr>
            <w:tcW w:w="2407" w:type="dxa"/>
            <w:vMerge/>
          </w:tcPr>
          <w:p w14:paraId="3FFE9ED6" w14:textId="77777777" w:rsidR="00CE0BAD" w:rsidRPr="0035614E" w:rsidRDefault="00CE0BAD" w:rsidP="006064E6">
            <w:pPr>
              <w:rPr>
                <w:rFonts w:ascii="Arial" w:hAnsi="Arial" w:cs="Arial"/>
                <w:b/>
                <w:sz w:val="20"/>
                <w:szCs w:val="20"/>
              </w:rPr>
            </w:pPr>
          </w:p>
        </w:tc>
        <w:tc>
          <w:tcPr>
            <w:tcW w:w="2407" w:type="dxa"/>
          </w:tcPr>
          <w:p w14:paraId="26204239" w14:textId="77777777" w:rsidR="00CE0BAD" w:rsidRPr="0035614E" w:rsidRDefault="00CE0BAD" w:rsidP="006064E6">
            <w:pPr>
              <w:rPr>
                <w:rFonts w:ascii="Arial" w:hAnsi="Arial" w:cs="Arial"/>
                <w:sz w:val="20"/>
                <w:szCs w:val="20"/>
              </w:rPr>
            </w:pPr>
            <w:r w:rsidRPr="0035614E">
              <w:rPr>
                <w:rFonts w:ascii="Arial" w:hAnsi="Arial" w:cs="Arial"/>
                <w:sz w:val="20"/>
                <w:szCs w:val="20"/>
              </w:rPr>
              <w:t>SRS request</w:t>
            </w:r>
          </w:p>
        </w:tc>
        <w:tc>
          <w:tcPr>
            <w:tcW w:w="2407" w:type="dxa"/>
          </w:tcPr>
          <w:p w14:paraId="3E994D50"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w:t>
            </w:r>
          </w:p>
        </w:tc>
        <w:tc>
          <w:tcPr>
            <w:tcW w:w="2408" w:type="dxa"/>
          </w:tcPr>
          <w:p w14:paraId="1A37D047"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2 bits</w:t>
            </w:r>
          </w:p>
        </w:tc>
      </w:tr>
      <w:tr w:rsidR="00CE0BAD" w:rsidRPr="0035614E" w14:paraId="129CC694" w14:textId="77777777" w:rsidTr="006064E6">
        <w:trPr>
          <w:jc w:val="center"/>
        </w:trPr>
        <w:tc>
          <w:tcPr>
            <w:tcW w:w="2407" w:type="dxa"/>
            <w:vMerge/>
          </w:tcPr>
          <w:p w14:paraId="67DD65B2" w14:textId="77777777" w:rsidR="00CE0BAD" w:rsidRPr="0035614E" w:rsidRDefault="00CE0BAD" w:rsidP="006064E6">
            <w:pPr>
              <w:rPr>
                <w:rFonts w:ascii="Arial" w:hAnsi="Arial" w:cs="Arial"/>
                <w:b/>
                <w:sz w:val="20"/>
                <w:szCs w:val="20"/>
              </w:rPr>
            </w:pPr>
          </w:p>
        </w:tc>
        <w:tc>
          <w:tcPr>
            <w:tcW w:w="2407" w:type="dxa"/>
          </w:tcPr>
          <w:p w14:paraId="33935420" w14:textId="77777777" w:rsidR="00CE0BAD" w:rsidRPr="0035614E" w:rsidRDefault="00CE0BAD" w:rsidP="006064E6">
            <w:pPr>
              <w:rPr>
                <w:rFonts w:ascii="Arial" w:hAnsi="Arial" w:cs="Arial"/>
                <w:sz w:val="20"/>
                <w:szCs w:val="20"/>
              </w:rPr>
            </w:pPr>
            <w:r w:rsidRPr="0035614E">
              <w:rPr>
                <w:rFonts w:ascii="Arial" w:hAnsi="Arial" w:cs="Arial"/>
                <w:sz w:val="20"/>
                <w:szCs w:val="20"/>
              </w:rPr>
              <w:t>CSI request</w:t>
            </w:r>
          </w:p>
        </w:tc>
        <w:tc>
          <w:tcPr>
            <w:tcW w:w="2407" w:type="dxa"/>
          </w:tcPr>
          <w:p w14:paraId="360F3022"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w:t>
            </w:r>
          </w:p>
        </w:tc>
        <w:tc>
          <w:tcPr>
            <w:tcW w:w="2408" w:type="dxa"/>
          </w:tcPr>
          <w:p w14:paraId="7FB66064"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0-6 bits</w:t>
            </w:r>
          </w:p>
        </w:tc>
      </w:tr>
      <w:tr w:rsidR="00CE0BAD" w:rsidRPr="0035614E" w14:paraId="672F1A0F" w14:textId="77777777" w:rsidTr="006064E6">
        <w:trPr>
          <w:jc w:val="center"/>
        </w:trPr>
        <w:tc>
          <w:tcPr>
            <w:tcW w:w="2407" w:type="dxa"/>
            <w:vMerge w:val="restart"/>
          </w:tcPr>
          <w:p w14:paraId="237AE51F" w14:textId="77777777" w:rsidR="00CE0BAD" w:rsidRPr="0035614E" w:rsidRDefault="00CE0BAD" w:rsidP="006064E6">
            <w:pPr>
              <w:rPr>
                <w:rFonts w:ascii="Arial" w:hAnsi="Arial" w:cs="Arial"/>
                <w:b/>
                <w:sz w:val="20"/>
                <w:szCs w:val="20"/>
              </w:rPr>
            </w:pPr>
            <w:r w:rsidRPr="0035614E">
              <w:rPr>
                <w:rFonts w:ascii="Arial" w:hAnsi="Arial" w:cs="Arial"/>
                <w:b/>
                <w:sz w:val="20"/>
                <w:szCs w:val="20"/>
              </w:rPr>
              <w:t>Power control</w:t>
            </w:r>
          </w:p>
        </w:tc>
        <w:tc>
          <w:tcPr>
            <w:tcW w:w="2407" w:type="dxa"/>
          </w:tcPr>
          <w:p w14:paraId="3CB4A96F" w14:textId="77777777" w:rsidR="00CE0BAD" w:rsidRPr="0035614E" w:rsidRDefault="00CE0BAD" w:rsidP="006064E6">
            <w:pPr>
              <w:rPr>
                <w:rFonts w:ascii="Arial" w:hAnsi="Arial" w:cs="Arial"/>
                <w:sz w:val="20"/>
                <w:szCs w:val="20"/>
              </w:rPr>
            </w:pPr>
            <w:r w:rsidRPr="0035614E">
              <w:rPr>
                <w:rFonts w:ascii="Arial" w:hAnsi="Arial" w:cs="Arial"/>
                <w:sz w:val="20"/>
                <w:szCs w:val="20"/>
              </w:rPr>
              <w:t>PUSCH power control</w:t>
            </w:r>
          </w:p>
        </w:tc>
        <w:tc>
          <w:tcPr>
            <w:tcW w:w="2407" w:type="dxa"/>
          </w:tcPr>
          <w:p w14:paraId="79D4D2A0"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2 bits</w:t>
            </w:r>
          </w:p>
        </w:tc>
        <w:tc>
          <w:tcPr>
            <w:tcW w:w="2408" w:type="dxa"/>
          </w:tcPr>
          <w:p w14:paraId="74A13304"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2 bits</w:t>
            </w:r>
          </w:p>
        </w:tc>
      </w:tr>
      <w:tr w:rsidR="00CE0BAD" w:rsidRPr="0035614E" w14:paraId="7DA26822" w14:textId="77777777" w:rsidTr="006064E6">
        <w:trPr>
          <w:jc w:val="center"/>
        </w:trPr>
        <w:tc>
          <w:tcPr>
            <w:tcW w:w="2407" w:type="dxa"/>
            <w:vMerge/>
          </w:tcPr>
          <w:p w14:paraId="1507AA29" w14:textId="77777777" w:rsidR="00CE0BAD" w:rsidRPr="0035614E" w:rsidRDefault="00CE0BAD" w:rsidP="006064E6">
            <w:pPr>
              <w:rPr>
                <w:rFonts w:ascii="Arial" w:hAnsi="Arial" w:cs="Arial"/>
                <w:b/>
                <w:sz w:val="20"/>
                <w:szCs w:val="20"/>
              </w:rPr>
            </w:pPr>
          </w:p>
        </w:tc>
        <w:tc>
          <w:tcPr>
            <w:tcW w:w="2407" w:type="dxa"/>
          </w:tcPr>
          <w:p w14:paraId="6217B245" w14:textId="77777777" w:rsidR="00CE0BAD" w:rsidRPr="0035614E" w:rsidRDefault="00CE0BAD" w:rsidP="006064E6">
            <w:pPr>
              <w:rPr>
                <w:rFonts w:ascii="Arial" w:hAnsi="Arial" w:cs="Arial"/>
                <w:sz w:val="20"/>
                <w:szCs w:val="20"/>
              </w:rPr>
            </w:pPr>
            <w:r w:rsidRPr="0035614E">
              <w:rPr>
                <w:rFonts w:ascii="Arial" w:hAnsi="Arial" w:cs="Arial"/>
                <w:sz w:val="20"/>
                <w:szCs w:val="20"/>
              </w:rPr>
              <w:t>Beta offset</w:t>
            </w:r>
          </w:p>
        </w:tc>
        <w:tc>
          <w:tcPr>
            <w:tcW w:w="2407" w:type="dxa"/>
          </w:tcPr>
          <w:p w14:paraId="421EF6EE"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w:t>
            </w:r>
          </w:p>
        </w:tc>
        <w:tc>
          <w:tcPr>
            <w:tcW w:w="2408" w:type="dxa"/>
          </w:tcPr>
          <w:p w14:paraId="38F3D796" w14:textId="77777777" w:rsidR="00CE0BAD" w:rsidRPr="0035614E" w:rsidRDefault="00CE0BAD" w:rsidP="006064E6">
            <w:pPr>
              <w:jc w:val="center"/>
              <w:rPr>
                <w:rFonts w:ascii="Arial" w:hAnsi="Arial" w:cs="Arial"/>
                <w:sz w:val="20"/>
                <w:szCs w:val="20"/>
              </w:rPr>
            </w:pPr>
            <w:r w:rsidRPr="0035614E">
              <w:rPr>
                <w:rFonts w:ascii="Arial" w:hAnsi="Arial" w:cs="Arial"/>
                <w:sz w:val="20"/>
                <w:szCs w:val="20"/>
              </w:rPr>
              <w:t>0 or 2 bits</w:t>
            </w:r>
          </w:p>
        </w:tc>
      </w:tr>
    </w:tbl>
    <w:p w14:paraId="5A81EDF7" w14:textId="77777777" w:rsidR="00CE0BAD" w:rsidRPr="001F0DFF" w:rsidRDefault="00CE0BAD" w:rsidP="001F0DFF">
      <w:pPr>
        <w:spacing w:before="240"/>
        <w:jc w:val="both"/>
        <w:rPr>
          <w:rFonts w:ascii="Arial" w:hAnsi="Arial" w:cs="Arial"/>
        </w:rPr>
      </w:pPr>
      <w:r w:rsidRPr="001F0DFF">
        <w:rPr>
          <w:rFonts w:ascii="Arial" w:hAnsi="Arial" w:cs="Arial"/>
        </w:rPr>
        <w:t xml:space="preserve">Even when only 2 sub-channels are configured, the size exceeds 30 bits, meaning that alignment with DCI 0_0 is in general not possible. </w:t>
      </w:r>
    </w:p>
    <w:p w14:paraId="7F5F66F8" w14:textId="4F9840DF" w:rsidR="00663A39" w:rsidRDefault="00CE0BAD" w:rsidP="00CE0BAD">
      <w:pPr>
        <w:pStyle w:val="Proposal"/>
      </w:pPr>
      <w:bookmarkStart w:id="8" w:name="_Toc32527132"/>
      <w:r>
        <w:t xml:space="preserve">When both DCI 0_1 and DCI 3_0 are configured, </w:t>
      </w:r>
      <w:r w:rsidR="00663A39">
        <w:t>DCI 3_0 is zero-padded to match the size of DCI 0_1.</w:t>
      </w:r>
      <w:bookmarkEnd w:id="8"/>
    </w:p>
    <w:p w14:paraId="594BD716" w14:textId="0AC6AA37" w:rsidR="00081D37" w:rsidRDefault="00081D37" w:rsidP="00081D37">
      <w:pPr>
        <w:spacing w:before="240"/>
        <w:jc w:val="both"/>
        <w:rPr>
          <w:rFonts w:ascii="Arial" w:hAnsi="Arial" w:cs="Arial"/>
        </w:rPr>
      </w:pPr>
      <w:r w:rsidRPr="00081D37">
        <w:rPr>
          <w:rFonts w:ascii="Arial" w:hAnsi="Arial" w:cs="Arial"/>
        </w:rPr>
        <w:t>Similarly,</w:t>
      </w:r>
      <w:r>
        <w:rPr>
          <w:rFonts w:ascii="Arial" w:hAnsi="Arial" w:cs="Arial"/>
        </w:rPr>
        <w:t xml:space="preserve"> if in a search space a UE is configured with format 3_0 with CRC scrambled </w:t>
      </w:r>
      <w:r w:rsidR="009A5C0E">
        <w:rPr>
          <w:rFonts w:ascii="Arial" w:hAnsi="Arial" w:cs="Arial"/>
        </w:rPr>
        <w:t>with</w:t>
      </w:r>
      <w:r>
        <w:rPr>
          <w:rFonts w:ascii="Arial" w:hAnsi="Arial" w:cs="Arial"/>
        </w:rPr>
        <w:t xml:space="preserve"> </w:t>
      </w:r>
      <w:r w:rsidRPr="00081D37">
        <w:rPr>
          <w:rFonts w:ascii="Arial" w:hAnsi="Arial" w:cs="Arial"/>
        </w:rPr>
        <w:t>SL-RNTI</w:t>
      </w:r>
      <w:r>
        <w:rPr>
          <w:rFonts w:ascii="Arial" w:hAnsi="Arial" w:cs="Arial"/>
        </w:rPr>
        <w:t xml:space="preserve"> and with format 3_0 with CRC scrambled </w:t>
      </w:r>
      <w:r w:rsidR="009A5C0E">
        <w:rPr>
          <w:rFonts w:ascii="Arial" w:hAnsi="Arial" w:cs="Arial"/>
        </w:rPr>
        <w:t>with</w:t>
      </w:r>
      <w:r>
        <w:rPr>
          <w:rFonts w:ascii="Arial" w:hAnsi="Arial" w:cs="Arial"/>
        </w:rPr>
        <w:t xml:space="preserve"> </w:t>
      </w:r>
      <w:r w:rsidRPr="00081D37">
        <w:rPr>
          <w:rFonts w:ascii="Arial" w:hAnsi="Arial" w:cs="Arial"/>
        </w:rPr>
        <w:t>SL-CS-RNTI</w:t>
      </w:r>
      <w:r>
        <w:rPr>
          <w:rFonts w:ascii="Arial" w:hAnsi="Arial" w:cs="Arial"/>
        </w:rPr>
        <w:t>, then the former is zero-padded until it has the same size as the latter.</w:t>
      </w:r>
    </w:p>
    <w:p w14:paraId="4637CCB1" w14:textId="0C7763E0" w:rsidR="00663A39" w:rsidRDefault="00663A39" w:rsidP="00663A39">
      <w:pPr>
        <w:pStyle w:val="Proposal"/>
      </w:pPr>
      <w:bookmarkStart w:id="9" w:name="_Toc32527133"/>
      <w:r>
        <w:t xml:space="preserve">When both DCI 3_0 with CRC scrambled </w:t>
      </w:r>
      <w:r w:rsidR="009A5C0E">
        <w:t>with SL-RNTI and DCI 3_0 with CRC scrambled with SL-CS-RNTI are configured, DCI 3_0 with CRC scrambled with SL-RNTI is zero-padded to match the size of DCI 3_0 with CRC scrambled with SL-CS-RNTI.</w:t>
      </w:r>
      <w:bookmarkEnd w:id="9"/>
    </w:p>
    <w:p w14:paraId="788179A0" w14:textId="507ECF5C" w:rsidR="00B46EC1" w:rsidRPr="00B46EC1" w:rsidRDefault="00B46EC1" w:rsidP="00B46EC1">
      <w:pPr>
        <w:spacing w:before="240"/>
        <w:jc w:val="both"/>
        <w:rPr>
          <w:rFonts w:ascii="Arial" w:hAnsi="Arial" w:cs="Arial"/>
        </w:rPr>
      </w:pPr>
      <w:r w:rsidRPr="00B46EC1">
        <w:rPr>
          <w:rFonts w:ascii="Arial" w:hAnsi="Arial" w:cs="Arial"/>
        </w:rPr>
        <w:lastRenderedPageBreak/>
        <w:t xml:space="preserve">We </w:t>
      </w:r>
      <w:r w:rsidR="00081D37">
        <w:rPr>
          <w:rFonts w:ascii="Arial" w:hAnsi="Arial" w:cs="Arial"/>
        </w:rPr>
        <w:t>propose to use the following text from 36.212 (with</w:t>
      </w:r>
      <w:r w:rsidR="00D803DC">
        <w:rPr>
          <w:rFonts w:ascii="Arial" w:hAnsi="Arial" w:cs="Arial"/>
        </w:rPr>
        <w:t xml:space="preserve"> the corresponding changes to format numbers and RNTI names</w:t>
      </w:r>
      <w:r w:rsidR="00081D37">
        <w:rPr>
          <w:rFonts w:ascii="Arial" w:hAnsi="Arial" w:cs="Arial"/>
        </w:rPr>
        <w:t>)</w:t>
      </w:r>
      <w:r w:rsidRPr="00B46EC1">
        <w:rPr>
          <w:rFonts w:ascii="Arial" w:hAnsi="Arial" w:cs="Arial"/>
        </w:rPr>
        <w:t>:</w:t>
      </w:r>
    </w:p>
    <w:tbl>
      <w:tblPr>
        <w:tblStyle w:val="TableGrid"/>
        <w:tblW w:w="0" w:type="auto"/>
        <w:tblLook w:val="04A0" w:firstRow="1" w:lastRow="0" w:firstColumn="1" w:lastColumn="0" w:noHBand="0" w:noVBand="1"/>
      </w:tblPr>
      <w:tblGrid>
        <w:gridCol w:w="9629"/>
      </w:tblGrid>
      <w:tr w:rsidR="00B46EC1" w:rsidRPr="00B46EC1" w14:paraId="4686549A" w14:textId="77777777" w:rsidTr="00B46EC1">
        <w:tc>
          <w:tcPr>
            <w:tcW w:w="9629" w:type="dxa"/>
          </w:tcPr>
          <w:p w14:paraId="492CEC1A" w14:textId="7A1A3259" w:rsidR="00B46EC1" w:rsidRPr="00B46EC1" w:rsidRDefault="00B46EC1" w:rsidP="00B46EC1">
            <w:pPr>
              <w:spacing w:before="240"/>
              <w:jc w:val="both"/>
              <w:rPr>
                <w:rFonts w:ascii="Arial" w:eastAsia="Times New Roman" w:hAnsi="Arial" w:cs="Arial"/>
                <w:sz w:val="20"/>
                <w:szCs w:val="20"/>
                <w:lang w:val="en-GB"/>
              </w:rPr>
            </w:pPr>
            <w:r w:rsidRPr="00B46EC1">
              <w:rPr>
                <w:rFonts w:ascii="Arial" w:eastAsia="Times New Roman" w:hAnsi="Arial" w:cs="Arial"/>
                <w:sz w:val="20"/>
                <w:szCs w:val="20"/>
                <w:lang w:val="en-GB"/>
              </w:rPr>
              <w:t xml:space="preserve">If the number of information bits in format </w:t>
            </w:r>
            <w:r>
              <w:rPr>
                <w:rFonts w:ascii="Arial" w:eastAsia="Times New Roman" w:hAnsi="Arial" w:cs="Arial"/>
                <w:sz w:val="20"/>
                <w:szCs w:val="20"/>
                <w:lang w:val="en-GB"/>
              </w:rPr>
              <w:t>3_0</w:t>
            </w:r>
            <w:r w:rsidRPr="00B46EC1">
              <w:rPr>
                <w:rFonts w:ascii="Arial" w:eastAsia="Times New Roman" w:hAnsi="Arial" w:cs="Arial"/>
                <w:sz w:val="20"/>
                <w:szCs w:val="20"/>
                <w:lang w:val="en-GB"/>
              </w:rPr>
              <w:t xml:space="preserve"> mapped onto a given search space is less than the payload size of format 0</w:t>
            </w:r>
            <w:r>
              <w:rPr>
                <w:rFonts w:ascii="Arial" w:eastAsia="Times New Roman" w:hAnsi="Arial" w:cs="Arial"/>
                <w:sz w:val="20"/>
                <w:szCs w:val="20"/>
                <w:lang w:val="en-GB"/>
              </w:rPr>
              <w:t>_1</w:t>
            </w:r>
            <w:r w:rsidRPr="00B46EC1">
              <w:rPr>
                <w:rFonts w:ascii="Arial" w:eastAsia="Times New Roman" w:hAnsi="Arial" w:cs="Arial"/>
                <w:sz w:val="20"/>
                <w:szCs w:val="20"/>
                <w:lang w:val="en-GB"/>
              </w:rPr>
              <w:t xml:space="preserve"> mapped onto the same search space, zeros shall be appended to format </w:t>
            </w:r>
            <w:r>
              <w:rPr>
                <w:rFonts w:ascii="Arial" w:eastAsia="Times New Roman" w:hAnsi="Arial" w:cs="Arial"/>
                <w:sz w:val="20"/>
                <w:szCs w:val="20"/>
                <w:lang w:val="en-GB"/>
              </w:rPr>
              <w:t>3_0</w:t>
            </w:r>
            <w:r w:rsidRPr="00B46EC1">
              <w:rPr>
                <w:rFonts w:ascii="Arial" w:eastAsia="Times New Roman" w:hAnsi="Arial" w:cs="Arial"/>
                <w:sz w:val="20"/>
                <w:szCs w:val="20"/>
                <w:lang w:val="en-GB"/>
              </w:rPr>
              <w:t xml:space="preserve"> until the payload size equals that of format 0</w:t>
            </w:r>
            <w:r w:rsidR="00081D37">
              <w:rPr>
                <w:rFonts w:ascii="Arial" w:eastAsia="Times New Roman" w:hAnsi="Arial" w:cs="Arial"/>
                <w:sz w:val="20"/>
                <w:szCs w:val="20"/>
                <w:lang w:val="en-GB"/>
              </w:rPr>
              <w:t>_1</w:t>
            </w:r>
            <w:r w:rsidRPr="00B46EC1">
              <w:rPr>
                <w:rFonts w:ascii="Arial" w:eastAsia="Times New Roman" w:hAnsi="Arial" w:cs="Arial"/>
                <w:sz w:val="20"/>
                <w:szCs w:val="20"/>
                <w:lang w:val="en-GB"/>
              </w:rPr>
              <w:t xml:space="preserve"> including any padding bits appended to format 0</w:t>
            </w:r>
            <w:r w:rsidR="00081D37">
              <w:rPr>
                <w:rFonts w:ascii="Arial" w:eastAsia="Times New Roman" w:hAnsi="Arial" w:cs="Arial"/>
                <w:sz w:val="20"/>
                <w:szCs w:val="20"/>
                <w:lang w:val="en-GB"/>
              </w:rPr>
              <w:t>_1</w:t>
            </w:r>
            <w:r w:rsidRPr="00B46EC1">
              <w:rPr>
                <w:rFonts w:ascii="Arial" w:eastAsia="Times New Roman" w:hAnsi="Arial" w:cs="Arial"/>
                <w:sz w:val="20"/>
                <w:szCs w:val="20"/>
                <w:lang w:val="en-GB"/>
              </w:rPr>
              <w:t>.</w:t>
            </w:r>
          </w:p>
          <w:p w14:paraId="375B5987" w14:textId="0FD83BDA" w:rsidR="00B46EC1" w:rsidRPr="00B46EC1" w:rsidRDefault="00B46EC1" w:rsidP="00B46EC1">
            <w:pPr>
              <w:spacing w:before="240"/>
              <w:jc w:val="both"/>
              <w:rPr>
                <w:rFonts w:ascii="Arial" w:eastAsia="Times New Roman" w:hAnsi="Arial" w:cs="Arial"/>
                <w:sz w:val="20"/>
                <w:szCs w:val="20"/>
                <w:lang w:val="en-GB"/>
              </w:rPr>
            </w:pPr>
            <w:r w:rsidRPr="00B46EC1">
              <w:rPr>
                <w:rFonts w:ascii="Arial" w:eastAsia="Times New Roman" w:hAnsi="Arial" w:cs="Arial"/>
                <w:sz w:val="20"/>
                <w:szCs w:val="20"/>
                <w:lang w:val="en-GB"/>
              </w:rPr>
              <w:t xml:space="preserve">If the format </w:t>
            </w:r>
            <w:r w:rsidR="00081D37">
              <w:rPr>
                <w:rFonts w:ascii="Arial" w:eastAsia="Times New Roman" w:hAnsi="Arial" w:cs="Arial"/>
                <w:sz w:val="20"/>
                <w:szCs w:val="20"/>
                <w:lang w:val="en-GB"/>
              </w:rPr>
              <w:t>3_0</w:t>
            </w:r>
            <w:r w:rsidRPr="00B46EC1">
              <w:rPr>
                <w:rFonts w:ascii="Arial" w:eastAsia="Times New Roman" w:hAnsi="Arial" w:cs="Arial"/>
                <w:sz w:val="20"/>
                <w:szCs w:val="20"/>
                <w:lang w:val="en-GB"/>
              </w:rPr>
              <w:t xml:space="preserve"> CRC is scrambled by </w:t>
            </w:r>
            <w:r w:rsidR="00081D37" w:rsidRPr="00083914">
              <w:rPr>
                <w:rFonts w:ascii="Arial" w:hAnsi="Arial" w:cs="Arial"/>
                <w:lang w:val="en-US"/>
              </w:rPr>
              <w:t>SL-RNTI</w:t>
            </w:r>
            <w:r w:rsidRPr="00B46EC1">
              <w:rPr>
                <w:rFonts w:ascii="Arial" w:eastAsia="Times New Roman" w:hAnsi="Arial" w:cs="Arial"/>
                <w:sz w:val="20"/>
                <w:szCs w:val="20"/>
                <w:lang w:val="en-GB"/>
              </w:rPr>
              <w:t xml:space="preserve"> and if the number of information bits in format </w:t>
            </w:r>
            <w:r w:rsidR="00081D37">
              <w:rPr>
                <w:rFonts w:ascii="Arial" w:eastAsia="Times New Roman" w:hAnsi="Arial" w:cs="Arial"/>
                <w:sz w:val="20"/>
                <w:szCs w:val="20"/>
                <w:lang w:val="en-GB"/>
              </w:rPr>
              <w:t>3_0</w:t>
            </w:r>
            <w:r w:rsidRPr="00B46EC1">
              <w:rPr>
                <w:rFonts w:ascii="Arial" w:eastAsia="Times New Roman" w:hAnsi="Arial" w:cs="Arial"/>
                <w:sz w:val="20"/>
                <w:szCs w:val="20"/>
                <w:lang w:val="en-GB"/>
              </w:rPr>
              <w:t xml:space="preserve"> mapped onto a given search space is less than the payload size of format </w:t>
            </w:r>
            <w:r w:rsidR="00081D37">
              <w:rPr>
                <w:rFonts w:ascii="Arial" w:eastAsia="Times New Roman" w:hAnsi="Arial" w:cs="Arial"/>
                <w:sz w:val="20"/>
                <w:szCs w:val="20"/>
                <w:lang w:val="en-GB"/>
              </w:rPr>
              <w:t>3_0</w:t>
            </w:r>
            <w:r w:rsidRPr="00B46EC1">
              <w:rPr>
                <w:rFonts w:ascii="Arial" w:eastAsia="Times New Roman" w:hAnsi="Arial" w:cs="Arial"/>
                <w:sz w:val="20"/>
                <w:szCs w:val="20"/>
                <w:lang w:val="en-GB"/>
              </w:rPr>
              <w:t xml:space="preserve"> with CRC scrambled by </w:t>
            </w:r>
            <w:r w:rsidR="00081D37" w:rsidRPr="00083914">
              <w:rPr>
                <w:rFonts w:ascii="Arial" w:hAnsi="Arial" w:cs="Arial"/>
                <w:lang w:val="en-US"/>
              </w:rPr>
              <w:t>SL-CS-RNTI</w:t>
            </w:r>
            <w:r w:rsidRPr="00B46EC1">
              <w:rPr>
                <w:rFonts w:ascii="Arial" w:eastAsia="Times New Roman" w:hAnsi="Arial" w:cs="Arial"/>
                <w:sz w:val="20"/>
                <w:szCs w:val="20"/>
                <w:lang w:val="en-GB"/>
              </w:rPr>
              <w:t xml:space="preserve"> mapped onto the same search space and format 0</w:t>
            </w:r>
            <w:r w:rsidR="00081D37">
              <w:rPr>
                <w:rFonts w:ascii="Arial" w:eastAsia="Times New Roman" w:hAnsi="Arial" w:cs="Arial"/>
                <w:sz w:val="20"/>
                <w:szCs w:val="20"/>
                <w:lang w:val="en-GB"/>
              </w:rPr>
              <w:t>_1</w:t>
            </w:r>
            <w:r w:rsidRPr="00B46EC1">
              <w:rPr>
                <w:rFonts w:ascii="Arial" w:eastAsia="Times New Roman" w:hAnsi="Arial" w:cs="Arial"/>
                <w:sz w:val="20"/>
                <w:szCs w:val="20"/>
                <w:lang w:val="en-GB"/>
              </w:rPr>
              <w:t xml:space="preserve"> is not defined on the same search space, zeros shall be appended to format </w:t>
            </w:r>
            <w:r w:rsidR="00081D37">
              <w:rPr>
                <w:rFonts w:ascii="Arial" w:eastAsia="Times New Roman" w:hAnsi="Arial" w:cs="Arial"/>
                <w:sz w:val="20"/>
                <w:szCs w:val="20"/>
                <w:lang w:val="en-GB"/>
              </w:rPr>
              <w:t>3_0</w:t>
            </w:r>
            <w:r w:rsidRPr="00B46EC1">
              <w:rPr>
                <w:rFonts w:ascii="Arial" w:eastAsia="Times New Roman" w:hAnsi="Arial" w:cs="Arial"/>
                <w:sz w:val="20"/>
                <w:szCs w:val="20"/>
                <w:lang w:val="en-GB"/>
              </w:rPr>
              <w:t xml:space="preserve"> until the payload size equals that of format </w:t>
            </w:r>
            <w:r w:rsidR="00081D37">
              <w:rPr>
                <w:rFonts w:ascii="Arial" w:eastAsia="Times New Roman" w:hAnsi="Arial" w:cs="Arial"/>
                <w:sz w:val="20"/>
                <w:szCs w:val="20"/>
                <w:lang w:val="en-GB"/>
              </w:rPr>
              <w:t>3_0</w:t>
            </w:r>
            <w:r w:rsidRPr="00B46EC1">
              <w:rPr>
                <w:rFonts w:ascii="Arial" w:eastAsia="Times New Roman" w:hAnsi="Arial" w:cs="Arial"/>
                <w:sz w:val="20"/>
                <w:szCs w:val="20"/>
                <w:lang w:val="en-GB"/>
              </w:rPr>
              <w:t xml:space="preserve"> with CRC scrambled by </w:t>
            </w:r>
            <w:r w:rsidR="00081D37" w:rsidRPr="00083914">
              <w:rPr>
                <w:rFonts w:ascii="Arial" w:hAnsi="Arial" w:cs="Arial"/>
                <w:lang w:val="en-US"/>
              </w:rPr>
              <w:t>SL-CS-RNTI</w:t>
            </w:r>
            <w:r w:rsidRPr="00B46EC1">
              <w:rPr>
                <w:rFonts w:ascii="Arial" w:eastAsia="Times New Roman" w:hAnsi="Arial" w:cs="Arial"/>
                <w:sz w:val="20"/>
                <w:szCs w:val="20"/>
                <w:lang w:val="en-GB"/>
              </w:rPr>
              <w:t>.</w:t>
            </w:r>
          </w:p>
        </w:tc>
      </w:tr>
    </w:tbl>
    <w:p w14:paraId="21DAB974" w14:textId="77777777" w:rsidR="00B46EC1" w:rsidRDefault="00B46EC1" w:rsidP="00B46EC1">
      <w:pPr>
        <w:pStyle w:val="Proposal"/>
        <w:numPr>
          <w:ilvl w:val="0"/>
          <w:numId w:val="0"/>
        </w:numPr>
      </w:pPr>
    </w:p>
    <w:p w14:paraId="2510B837" w14:textId="12ED2FBF" w:rsidR="00DB5497" w:rsidRPr="00DB5497" w:rsidRDefault="00D13745" w:rsidP="00DB5497">
      <w:pPr>
        <w:pStyle w:val="Heading1"/>
      </w:pPr>
      <w:r>
        <w:t>4</w:t>
      </w:r>
      <w:r w:rsidR="00DB5497">
        <w:tab/>
        <w:t>LTE Uu controlling NR sidelink</w:t>
      </w:r>
    </w:p>
    <w:p w14:paraId="3CE8B652" w14:textId="4A446A4E" w:rsidR="002424D9" w:rsidRPr="001F0DFF" w:rsidRDefault="00A21040" w:rsidP="001F0DFF">
      <w:pPr>
        <w:jc w:val="both"/>
        <w:rPr>
          <w:rFonts w:ascii="Arial" w:hAnsi="Arial" w:cs="Arial"/>
        </w:rPr>
      </w:pPr>
      <w:r w:rsidRPr="001F0DFF">
        <w:rPr>
          <w:rFonts w:ascii="Arial" w:hAnsi="Arial" w:cs="Arial"/>
        </w:rPr>
        <w:t>For LTE Uu controlling NR sidelink, only configured grant type-1 is supported. The issue with timing discussed in Section 3 also applies here and the same solution can be used.</w:t>
      </w:r>
    </w:p>
    <w:p w14:paraId="1DF72C73" w14:textId="2D342EFC" w:rsidR="00A21040" w:rsidRDefault="00AC0C2B" w:rsidP="00A21040">
      <w:pPr>
        <w:pStyle w:val="Proposal"/>
        <w:rPr>
          <w:rFonts w:cs="Arial"/>
        </w:rPr>
      </w:pPr>
      <w:bookmarkStart w:id="10" w:name="_Toc32527134"/>
      <w:r w:rsidRPr="00B46EC1">
        <w:t xml:space="preserve">For a </w:t>
      </w:r>
      <w:r w:rsidR="00A21040" w:rsidRPr="00B46EC1">
        <w:t xml:space="preserve">configured grant type-1 </w:t>
      </w:r>
      <w:r w:rsidR="00B46EC1" w:rsidRPr="00B46EC1">
        <w:t xml:space="preserve">configured over LTE Uu, </w:t>
      </w:r>
      <w:r w:rsidR="00A21040" w:rsidRPr="00B46EC1">
        <w:t>the slot corresponding to the first SL transmission is the first SL slot of the corresponding resource pool that starts no earlier than SFN</w:t>
      </w:r>
      <w:r w:rsidR="00A21040" w:rsidRPr="00B46EC1">
        <w:rPr>
          <w:vertAlign w:val="subscript"/>
        </w:rPr>
        <w:t>0</w:t>
      </w:r>
      <w:r w:rsidR="00A21040" w:rsidRPr="00B46EC1">
        <w:t xml:space="preserve"> + </w:t>
      </w:r>
      <w:r w:rsidR="00A21040" w:rsidRPr="00B46EC1">
        <w:rPr>
          <w:i/>
          <w:iCs/>
        </w:rPr>
        <w:t>timeDomainOffset</w:t>
      </w:r>
      <w:r w:rsidR="00A74F00">
        <w:rPr>
          <w:i/>
          <w:iCs/>
        </w:rPr>
        <w:t xml:space="preserve"> </w:t>
      </w:r>
      <w:r w:rsidR="00D03697">
        <w:t>–</w:t>
      </w:r>
      <w:r w:rsidR="00A21040">
        <w:t xml:space="preserve"> T</w:t>
      </w:r>
      <w:r w:rsidR="00A21040" w:rsidRPr="006A3A5B">
        <w:rPr>
          <w:vertAlign w:val="subscript"/>
        </w:rPr>
        <w:t>TA</w:t>
      </w:r>
      <w:r w:rsidR="00A21040">
        <w:t>/2 x TC</w:t>
      </w:r>
      <w:r w:rsidR="00A21040" w:rsidRPr="006A3A5B">
        <w:t>, where SFN</w:t>
      </w:r>
      <w:r w:rsidR="00A21040" w:rsidRPr="006A3A5B">
        <w:rPr>
          <w:vertAlign w:val="subscript"/>
        </w:rPr>
        <w:t>0</w:t>
      </w:r>
      <w:r w:rsidR="00A21040" w:rsidRPr="006A3A5B">
        <w:t xml:space="preserve"> corresponds to SFN=0 in the DL carrier</w:t>
      </w:r>
      <w:r w:rsidR="00A21040">
        <w:t xml:space="preserve">, </w:t>
      </w:r>
      <w:r w:rsidR="00A21040" w:rsidRPr="005972DE">
        <w:rPr>
          <w:rFonts w:cs="Arial"/>
          <w:bCs w:val="0"/>
          <w:lang w:val="en-US"/>
        </w:rPr>
        <w:t>T</w:t>
      </w:r>
      <w:r w:rsidR="00A21040" w:rsidRPr="005972DE">
        <w:rPr>
          <w:rFonts w:cs="Arial"/>
          <w:bCs w:val="0"/>
          <w:vertAlign w:val="subscript"/>
        </w:rPr>
        <w:t>TA</w:t>
      </w:r>
      <w:r w:rsidR="00A21040" w:rsidRPr="005972DE">
        <w:rPr>
          <w:rFonts w:cs="Arial"/>
          <w:bCs w:val="0"/>
        </w:rPr>
        <w:t xml:space="preserve"> is the timing</w:t>
      </w:r>
      <w:r w:rsidR="00A21040">
        <w:rPr>
          <w:rFonts w:cs="Arial"/>
          <w:bCs w:val="0"/>
        </w:rPr>
        <w:t xml:space="preserve"> advance value, and </w:t>
      </w:r>
      <w:r w:rsidR="00A21040">
        <w:rPr>
          <w:rFonts w:cs="Arial"/>
          <w:bCs w:val="0"/>
          <w:lang w:val="en-US"/>
        </w:rPr>
        <w:t>T</w:t>
      </w:r>
      <w:r w:rsidR="00A21040">
        <w:rPr>
          <w:rFonts w:cs="Arial"/>
          <w:bCs w:val="0"/>
          <w:vertAlign w:val="subscript"/>
          <w:lang w:val="en-US"/>
        </w:rPr>
        <w:t>c</w:t>
      </w:r>
      <w:r w:rsidR="00A21040">
        <w:rPr>
          <w:rFonts w:cs="Arial"/>
          <w:bCs w:val="0"/>
          <w:lang w:val="en-US"/>
        </w:rPr>
        <w:t xml:space="preserve"> is as defined in 38.211.</w:t>
      </w:r>
      <w:bookmarkEnd w:id="10"/>
    </w:p>
    <w:p w14:paraId="76454621" w14:textId="27A23A6B" w:rsidR="00662843" w:rsidRDefault="00D13745" w:rsidP="00662843">
      <w:pPr>
        <w:pStyle w:val="Heading1"/>
      </w:pPr>
      <w:r>
        <w:t>5</w:t>
      </w:r>
      <w:r w:rsidR="00BC6914">
        <w:tab/>
      </w:r>
      <w:r w:rsidR="00662843">
        <w:t>HARQ procedure over Uu</w:t>
      </w:r>
    </w:p>
    <w:p w14:paraId="6A1348F5" w14:textId="67413D57" w:rsidR="00662843" w:rsidRDefault="00D13745" w:rsidP="00BC6914">
      <w:pPr>
        <w:pStyle w:val="Heading2"/>
      </w:pPr>
      <w:r>
        <w:t>5</w:t>
      </w:r>
      <w:r w:rsidR="00BC6914">
        <w:t>.1</w:t>
      </w:r>
      <w:r w:rsidR="00BC6914">
        <w:tab/>
        <w:t>UE behaviour for generating the HARQ reports</w:t>
      </w:r>
    </w:p>
    <w:p w14:paraId="3BFA48AE" w14:textId="432652AF" w:rsidR="00BC6914" w:rsidRDefault="00BC6914" w:rsidP="00352980">
      <w:pPr>
        <w:spacing w:before="240"/>
        <w:rPr>
          <w:rFonts w:ascii="Arial" w:hAnsi="Arial" w:cs="Arial"/>
        </w:rPr>
      </w:pPr>
      <w:r w:rsidRPr="00352980">
        <w:rPr>
          <w:rFonts w:ascii="Arial" w:hAnsi="Arial" w:cs="Arial"/>
        </w:rPr>
        <w:t xml:space="preserve">The agreements </w:t>
      </w:r>
      <w:r w:rsidR="000D70D7" w:rsidRPr="00352980">
        <w:rPr>
          <w:rFonts w:ascii="Arial" w:hAnsi="Arial" w:cs="Arial"/>
        </w:rPr>
        <w:t xml:space="preserve">on the UE behaviour for generating HARQ reports have some FFS bullets that have </w:t>
      </w:r>
      <w:r w:rsidR="00352980" w:rsidRPr="00352980">
        <w:rPr>
          <w:rFonts w:ascii="Arial" w:hAnsi="Arial" w:cs="Arial"/>
        </w:rPr>
        <w:t>led</w:t>
      </w:r>
      <w:r w:rsidR="000D70D7" w:rsidRPr="00352980">
        <w:rPr>
          <w:rFonts w:ascii="Arial" w:hAnsi="Arial" w:cs="Arial"/>
        </w:rPr>
        <w:t xml:space="preserve"> to an incomplete specification.</w:t>
      </w:r>
      <w:r w:rsidR="00352980">
        <w:rPr>
          <w:rFonts w:ascii="Arial" w:hAnsi="Arial" w:cs="Arial"/>
        </w:rPr>
        <w:t xml:space="preserve"> In this section, we discuss how to complete them.</w:t>
      </w:r>
    </w:p>
    <w:tbl>
      <w:tblPr>
        <w:tblStyle w:val="TableGrid"/>
        <w:tblW w:w="0" w:type="auto"/>
        <w:tblLook w:val="04A0" w:firstRow="1" w:lastRow="0" w:firstColumn="1" w:lastColumn="0" w:noHBand="0" w:noVBand="1"/>
      </w:tblPr>
      <w:tblGrid>
        <w:gridCol w:w="9629"/>
      </w:tblGrid>
      <w:tr w:rsidR="00B42AA2" w14:paraId="44A28D67" w14:textId="77777777" w:rsidTr="00B42AA2">
        <w:tc>
          <w:tcPr>
            <w:tcW w:w="9629" w:type="dxa"/>
          </w:tcPr>
          <w:p w14:paraId="2AE94284" w14:textId="77777777" w:rsidR="00B42AA2" w:rsidRDefault="00B42AA2" w:rsidP="00B42AA2">
            <w:pPr>
              <w:spacing w:before="240"/>
            </w:pPr>
            <w:r w:rsidRPr="003B056D">
              <w:rPr>
                <w:highlight w:val="green"/>
              </w:rPr>
              <w:t>Agreements</w:t>
            </w:r>
            <w:r>
              <w:t>:</w:t>
            </w:r>
          </w:p>
          <w:p w14:paraId="51A9980C" w14:textId="77777777" w:rsidR="00B42AA2" w:rsidRDefault="00B42AA2" w:rsidP="00B42AA2">
            <w:pPr>
              <w:pStyle w:val="ListParagraph"/>
              <w:numPr>
                <w:ilvl w:val="0"/>
                <w:numId w:val="28"/>
              </w:numPr>
              <w:overflowPunct/>
              <w:autoSpaceDE/>
              <w:autoSpaceDN/>
              <w:adjustRightInd/>
              <w:spacing w:after="160" w:line="259" w:lineRule="auto"/>
              <w:contextualSpacing/>
              <w:textAlignment w:val="auto"/>
              <w:rPr>
                <w:lang w:eastAsia="ja-JP"/>
              </w:rPr>
            </w:pPr>
            <w:r>
              <w:rPr>
                <w:lang w:eastAsia="ja-JP"/>
              </w:rPr>
              <w:t xml:space="preserve">For unicast: </w:t>
            </w:r>
          </w:p>
          <w:p w14:paraId="723AD2E2" w14:textId="77777777" w:rsidR="00B42AA2" w:rsidRDefault="00B42AA2" w:rsidP="00B42AA2">
            <w:pPr>
              <w:pStyle w:val="ListParagraph"/>
              <w:numPr>
                <w:ilvl w:val="1"/>
                <w:numId w:val="28"/>
              </w:numPr>
              <w:overflowPunct/>
              <w:autoSpaceDE/>
              <w:autoSpaceDN/>
              <w:adjustRightInd/>
              <w:spacing w:after="160" w:line="259" w:lineRule="auto"/>
              <w:contextualSpacing/>
              <w:textAlignment w:val="auto"/>
              <w:rPr>
                <w:lang w:eastAsia="ja-JP"/>
              </w:rPr>
            </w:pPr>
            <w:r>
              <w:rPr>
                <w:lang w:eastAsia="ja-JP"/>
              </w:rPr>
              <w:t xml:space="preserve">TX UE reports contents received in PSFCH (i.e., ACK/NACK) to gNB. </w:t>
            </w:r>
          </w:p>
          <w:p w14:paraId="55B90FBA" w14:textId="77777777" w:rsidR="00B42AA2" w:rsidRDefault="00B42AA2" w:rsidP="00B42AA2">
            <w:pPr>
              <w:pStyle w:val="ListParagraph"/>
              <w:numPr>
                <w:ilvl w:val="1"/>
                <w:numId w:val="28"/>
              </w:numPr>
              <w:overflowPunct/>
              <w:autoSpaceDE/>
              <w:autoSpaceDN/>
              <w:adjustRightInd/>
              <w:spacing w:after="160" w:line="259" w:lineRule="auto"/>
              <w:contextualSpacing/>
              <w:textAlignment w:val="auto"/>
              <w:rPr>
                <w:lang w:eastAsia="ja-JP"/>
              </w:rPr>
            </w:pPr>
            <w:r>
              <w:rPr>
                <w:lang w:eastAsia="ja-JP"/>
              </w:rPr>
              <w:t xml:space="preserve">TX UE reports NACK if PSFCH is not detected </w:t>
            </w:r>
          </w:p>
          <w:p w14:paraId="379D3481" w14:textId="77777777" w:rsidR="00B42AA2" w:rsidRDefault="00B42AA2" w:rsidP="00B42AA2">
            <w:pPr>
              <w:pStyle w:val="ListParagraph"/>
              <w:numPr>
                <w:ilvl w:val="1"/>
                <w:numId w:val="28"/>
              </w:numPr>
              <w:overflowPunct/>
              <w:autoSpaceDE/>
              <w:autoSpaceDN/>
              <w:adjustRightInd/>
              <w:spacing w:after="160" w:line="259" w:lineRule="auto"/>
              <w:contextualSpacing/>
              <w:textAlignment w:val="auto"/>
              <w:rPr>
                <w:lang w:eastAsia="ja-JP"/>
              </w:rPr>
            </w:pPr>
            <w:r>
              <w:rPr>
                <w:lang w:eastAsia="ja-JP"/>
              </w:rPr>
              <w:t xml:space="preserve">when generating the HARQ-ACK report for the transmissions corresponding to a grant, the TX </w:t>
            </w:r>
            <w:r w:rsidRPr="008846B0">
              <w:rPr>
                <w:lang w:eastAsia="ja-JP"/>
              </w:rPr>
              <w:t xml:space="preserve">UE uses the most recent PSFCH occasion (as </w:t>
            </w:r>
            <w:r w:rsidRPr="003B056D">
              <w:rPr>
                <w:highlight w:val="darkYellow"/>
                <w:lang w:eastAsia="ja-JP"/>
              </w:rPr>
              <w:t>working assumption)</w:t>
            </w:r>
            <w:r>
              <w:rPr>
                <w:lang w:eastAsia="ja-JP"/>
              </w:rPr>
              <w:t xml:space="preserve"> associated with the transmissions.</w:t>
            </w:r>
          </w:p>
          <w:p w14:paraId="24F3FBDA" w14:textId="77777777" w:rsidR="00B42AA2" w:rsidRDefault="00B42AA2" w:rsidP="00B42AA2">
            <w:pPr>
              <w:pStyle w:val="ListParagraph"/>
              <w:numPr>
                <w:ilvl w:val="0"/>
                <w:numId w:val="28"/>
              </w:numPr>
              <w:overflowPunct/>
              <w:autoSpaceDE/>
              <w:autoSpaceDN/>
              <w:adjustRightInd/>
              <w:spacing w:after="160" w:line="259" w:lineRule="auto"/>
              <w:contextualSpacing/>
              <w:textAlignment w:val="auto"/>
              <w:rPr>
                <w:lang w:eastAsia="ja-JP"/>
              </w:rPr>
            </w:pPr>
            <w:r>
              <w:rPr>
                <w:lang w:eastAsia="ja-JP"/>
              </w:rPr>
              <w:t xml:space="preserve">For groupcast option 1: </w:t>
            </w:r>
          </w:p>
          <w:p w14:paraId="3F119C82" w14:textId="77777777" w:rsidR="00B42AA2" w:rsidRDefault="00B42AA2" w:rsidP="00B42AA2">
            <w:pPr>
              <w:pStyle w:val="ListParagraph"/>
              <w:numPr>
                <w:ilvl w:val="1"/>
                <w:numId w:val="28"/>
              </w:numPr>
              <w:overflowPunct/>
              <w:autoSpaceDE/>
              <w:autoSpaceDN/>
              <w:adjustRightInd/>
              <w:spacing w:after="160" w:line="259" w:lineRule="auto"/>
              <w:contextualSpacing/>
              <w:textAlignment w:val="auto"/>
              <w:rPr>
                <w:lang w:eastAsia="ja-JP"/>
              </w:rPr>
            </w:pPr>
            <w:r>
              <w:rPr>
                <w:lang w:eastAsia="ja-JP"/>
              </w:rPr>
              <w:t xml:space="preserve">TX UE reports ACK to the gNB if no PSFCH is detected. </w:t>
            </w:r>
          </w:p>
          <w:p w14:paraId="21ADF78D" w14:textId="77777777" w:rsidR="00B42AA2" w:rsidRDefault="00B42AA2" w:rsidP="00B42AA2">
            <w:pPr>
              <w:pStyle w:val="ListParagraph"/>
              <w:numPr>
                <w:ilvl w:val="1"/>
                <w:numId w:val="28"/>
              </w:numPr>
              <w:overflowPunct/>
              <w:autoSpaceDE/>
              <w:autoSpaceDN/>
              <w:adjustRightInd/>
              <w:spacing w:after="160" w:line="259" w:lineRule="auto"/>
              <w:contextualSpacing/>
              <w:textAlignment w:val="auto"/>
              <w:rPr>
                <w:lang w:eastAsia="ja-JP"/>
              </w:rPr>
            </w:pPr>
            <w:r>
              <w:rPr>
                <w:lang w:eastAsia="ja-JP"/>
              </w:rPr>
              <w:t xml:space="preserve">TX UE reports NACK to the gNB if at least one PSFCH (i.e., NACK) is detected. </w:t>
            </w:r>
          </w:p>
          <w:p w14:paraId="29FEAB46" w14:textId="77777777" w:rsidR="00B42AA2" w:rsidRDefault="00B42AA2" w:rsidP="00B42AA2">
            <w:pPr>
              <w:pStyle w:val="ListParagraph"/>
              <w:numPr>
                <w:ilvl w:val="1"/>
                <w:numId w:val="28"/>
              </w:numPr>
              <w:overflowPunct/>
              <w:autoSpaceDE/>
              <w:autoSpaceDN/>
              <w:adjustRightInd/>
              <w:spacing w:after="160" w:line="259" w:lineRule="auto"/>
              <w:contextualSpacing/>
              <w:textAlignment w:val="auto"/>
              <w:rPr>
                <w:lang w:eastAsia="ja-JP"/>
              </w:rPr>
            </w:pPr>
            <w:r>
              <w:rPr>
                <w:lang w:eastAsia="ja-JP"/>
              </w:rPr>
              <w:t xml:space="preserve">when generating the HARQ-ACK report for the transmissions corresponding to a grant, </w:t>
            </w:r>
            <w:r w:rsidRPr="008846B0">
              <w:rPr>
                <w:lang w:eastAsia="ja-JP"/>
              </w:rPr>
              <w:t xml:space="preserve">the TX UE uses the most recent PSFCH occasion (as </w:t>
            </w:r>
            <w:r w:rsidRPr="003B056D">
              <w:rPr>
                <w:highlight w:val="darkYellow"/>
                <w:lang w:eastAsia="ja-JP"/>
              </w:rPr>
              <w:t>a working assumption)</w:t>
            </w:r>
            <w:r>
              <w:rPr>
                <w:lang w:eastAsia="ja-JP"/>
              </w:rPr>
              <w:t xml:space="preserve"> associated with the transmissions. </w:t>
            </w:r>
          </w:p>
          <w:p w14:paraId="29FD681C" w14:textId="77777777" w:rsidR="00B42AA2" w:rsidRPr="00A041AE" w:rsidRDefault="00B42AA2" w:rsidP="00B42AA2">
            <w:pPr>
              <w:pStyle w:val="ListParagraph"/>
              <w:numPr>
                <w:ilvl w:val="1"/>
                <w:numId w:val="28"/>
              </w:numPr>
              <w:overflowPunct/>
              <w:autoSpaceDE/>
              <w:autoSpaceDN/>
              <w:adjustRightInd/>
              <w:spacing w:after="160" w:line="259" w:lineRule="auto"/>
              <w:contextualSpacing/>
              <w:textAlignment w:val="auto"/>
              <w:rPr>
                <w:lang w:eastAsia="ja-JP"/>
              </w:rPr>
            </w:pPr>
            <w:r w:rsidRPr="00A041AE">
              <w:rPr>
                <w:lang w:eastAsia="ja-JP"/>
              </w:rPr>
              <w:t xml:space="preserve">FFS the cases when TX UE does not transmit/receive due to prioritization. </w:t>
            </w:r>
          </w:p>
          <w:p w14:paraId="798FBF2D" w14:textId="77777777" w:rsidR="00B42AA2" w:rsidRPr="00A041AE" w:rsidRDefault="00B42AA2" w:rsidP="00B42AA2">
            <w:pPr>
              <w:pStyle w:val="ListParagraph"/>
              <w:numPr>
                <w:ilvl w:val="0"/>
                <w:numId w:val="28"/>
              </w:numPr>
              <w:overflowPunct/>
              <w:autoSpaceDE/>
              <w:autoSpaceDN/>
              <w:adjustRightInd/>
              <w:spacing w:after="160" w:line="259" w:lineRule="auto"/>
              <w:contextualSpacing/>
              <w:textAlignment w:val="auto"/>
              <w:rPr>
                <w:lang w:eastAsia="ja-JP"/>
              </w:rPr>
            </w:pPr>
            <w:r w:rsidRPr="00A041AE">
              <w:rPr>
                <w:lang w:eastAsia="ja-JP"/>
              </w:rPr>
              <w:t xml:space="preserve">For groupcast option 2: </w:t>
            </w:r>
          </w:p>
          <w:p w14:paraId="1AA62CB8" w14:textId="77777777" w:rsidR="00B42AA2" w:rsidRPr="00A041AE" w:rsidRDefault="00B42AA2" w:rsidP="00B42AA2">
            <w:pPr>
              <w:pStyle w:val="ListParagraph"/>
              <w:numPr>
                <w:ilvl w:val="1"/>
                <w:numId w:val="28"/>
              </w:numPr>
              <w:overflowPunct/>
              <w:autoSpaceDE/>
              <w:autoSpaceDN/>
              <w:adjustRightInd/>
              <w:spacing w:after="160" w:line="259" w:lineRule="auto"/>
              <w:contextualSpacing/>
              <w:textAlignment w:val="auto"/>
              <w:rPr>
                <w:lang w:eastAsia="ja-JP"/>
              </w:rPr>
            </w:pPr>
            <w:r w:rsidRPr="00A041AE">
              <w:rPr>
                <w:lang w:eastAsia="ja-JP"/>
              </w:rPr>
              <w:t xml:space="preserve">TX UE reports ACK if all expected PSFCH resources are received and carry ACK. </w:t>
            </w:r>
          </w:p>
          <w:p w14:paraId="740E3C9F" w14:textId="77777777" w:rsidR="00B42AA2" w:rsidRPr="00A041AE" w:rsidRDefault="00B42AA2" w:rsidP="00B42AA2">
            <w:pPr>
              <w:pStyle w:val="ListParagraph"/>
              <w:numPr>
                <w:ilvl w:val="1"/>
                <w:numId w:val="28"/>
              </w:numPr>
              <w:overflowPunct/>
              <w:autoSpaceDE/>
              <w:autoSpaceDN/>
              <w:adjustRightInd/>
              <w:spacing w:after="160" w:line="259" w:lineRule="auto"/>
              <w:contextualSpacing/>
              <w:textAlignment w:val="auto"/>
              <w:rPr>
                <w:lang w:eastAsia="ja-JP"/>
              </w:rPr>
            </w:pPr>
            <w:r w:rsidRPr="00A041AE">
              <w:rPr>
                <w:lang w:eastAsia="ja-JP"/>
              </w:rPr>
              <w:lastRenderedPageBreak/>
              <w:t xml:space="preserve">TX UE reports NACK if at least one received PSFCH resource carries NACK or if no PSFCH is detected. </w:t>
            </w:r>
          </w:p>
          <w:p w14:paraId="61389F4A" w14:textId="77777777" w:rsidR="00B42AA2" w:rsidRPr="00A041AE" w:rsidRDefault="00B42AA2" w:rsidP="00B42AA2">
            <w:pPr>
              <w:pStyle w:val="ListParagraph"/>
              <w:numPr>
                <w:ilvl w:val="1"/>
                <w:numId w:val="28"/>
              </w:numPr>
              <w:overflowPunct/>
              <w:autoSpaceDE/>
              <w:autoSpaceDN/>
              <w:adjustRightInd/>
              <w:spacing w:after="160" w:line="259" w:lineRule="auto"/>
              <w:contextualSpacing/>
              <w:textAlignment w:val="auto"/>
              <w:rPr>
                <w:lang w:eastAsia="ja-JP"/>
              </w:rPr>
            </w:pPr>
            <w:r w:rsidRPr="00A041AE">
              <w:rPr>
                <w:lang w:eastAsia="ja-JP"/>
              </w:rPr>
              <w:t xml:space="preserve">FFS behavior when </w:t>
            </w:r>
            <w:bookmarkStart w:id="11" w:name="_Hlk23455568"/>
            <w:r w:rsidRPr="00A041AE">
              <w:rPr>
                <w:lang w:eastAsia="ja-JP"/>
              </w:rPr>
              <w:t>TX UE does not detect some expected PSFCH</w:t>
            </w:r>
            <w:bookmarkEnd w:id="11"/>
            <w:r w:rsidRPr="00A041AE">
              <w:rPr>
                <w:lang w:eastAsia="ja-JP"/>
              </w:rPr>
              <w:t>.</w:t>
            </w:r>
          </w:p>
          <w:p w14:paraId="5443B9B7" w14:textId="77777777" w:rsidR="00B42AA2" w:rsidRPr="00A041AE" w:rsidRDefault="00B42AA2" w:rsidP="00B42AA2">
            <w:pPr>
              <w:pStyle w:val="ListParagraph"/>
              <w:numPr>
                <w:ilvl w:val="1"/>
                <w:numId w:val="28"/>
              </w:numPr>
              <w:overflowPunct/>
              <w:autoSpaceDE/>
              <w:autoSpaceDN/>
              <w:adjustRightInd/>
              <w:spacing w:after="160" w:line="259" w:lineRule="auto"/>
              <w:contextualSpacing/>
              <w:textAlignment w:val="auto"/>
              <w:rPr>
                <w:lang w:eastAsia="ja-JP"/>
              </w:rPr>
            </w:pPr>
            <w:r w:rsidRPr="00A041AE">
              <w:rPr>
                <w:lang w:eastAsia="ja-JP"/>
              </w:rPr>
              <w:t xml:space="preserve">FFS the case with PSFCHs corresponding to multiple PSCCH/PSSCH transmissions before generating the HARQ-ACK report. </w:t>
            </w:r>
          </w:p>
          <w:p w14:paraId="45388788" w14:textId="77777777" w:rsidR="00B42AA2" w:rsidRPr="00A041AE" w:rsidRDefault="00B42AA2" w:rsidP="00B42AA2">
            <w:pPr>
              <w:pStyle w:val="ListParagraph"/>
              <w:numPr>
                <w:ilvl w:val="0"/>
                <w:numId w:val="28"/>
              </w:numPr>
              <w:overflowPunct/>
              <w:autoSpaceDE/>
              <w:autoSpaceDN/>
              <w:adjustRightInd/>
              <w:spacing w:after="160" w:line="259" w:lineRule="auto"/>
              <w:contextualSpacing/>
              <w:textAlignment w:val="auto"/>
              <w:rPr>
                <w:lang w:eastAsia="ja-JP"/>
              </w:rPr>
            </w:pPr>
            <w:r w:rsidRPr="00A041AE">
              <w:rPr>
                <w:lang w:eastAsia="ja-JP"/>
              </w:rPr>
              <w:t xml:space="preserve">FFS if no PSCCH/PSSCH is transmitted in a set of resources for configured grant. </w:t>
            </w:r>
          </w:p>
          <w:p w14:paraId="3963CC54" w14:textId="173D492D" w:rsidR="00B42AA2" w:rsidRPr="00B42AA2" w:rsidRDefault="00B42AA2" w:rsidP="00B42AA2">
            <w:pPr>
              <w:pStyle w:val="ListParagraph"/>
              <w:numPr>
                <w:ilvl w:val="0"/>
                <w:numId w:val="28"/>
              </w:numPr>
              <w:overflowPunct/>
              <w:autoSpaceDE/>
              <w:autoSpaceDN/>
              <w:adjustRightInd/>
              <w:spacing w:after="240" w:line="259" w:lineRule="auto"/>
              <w:contextualSpacing/>
              <w:textAlignment w:val="auto"/>
              <w:rPr>
                <w:lang w:eastAsia="ja-JP"/>
              </w:rPr>
            </w:pPr>
            <w:r w:rsidRPr="008846B0">
              <w:rPr>
                <w:lang w:eastAsia="ja-JP"/>
              </w:rPr>
              <w:t>FFS whether/how to deal with the case of reaching the maximum number of HARQ re-transmissions for a TB.</w:t>
            </w:r>
          </w:p>
        </w:tc>
      </w:tr>
    </w:tbl>
    <w:p w14:paraId="2AFCF603" w14:textId="77777777" w:rsidR="00352980" w:rsidRPr="00B224CF" w:rsidRDefault="00352980" w:rsidP="00352980">
      <w:pPr>
        <w:spacing w:before="240"/>
        <w:rPr>
          <w:rFonts w:ascii="Arial" w:hAnsi="Arial" w:cs="Arial"/>
        </w:rPr>
      </w:pPr>
      <w:r w:rsidRPr="00762E5B">
        <w:rPr>
          <w:rFonts w:ascii="Arial" w:hAnsi="Arial" w:cs="Arial"/>
        </w:rPr>
        <w:lastRenderedPageBreak/>
        <w:t>For group</w:t>
      </w:r>
      <w:r w:rsidRPr="00B224CF">
        <w:rPr>
          <w:rFonts w:ascii="Arial" w:hAnsi="Arial" w:cs="Arial"/>
        </w:rPr>
        <w:t xml:space="preserve">cast option 1, the current agreements would result in ACK being reported to the gNB if the TX UE does not transmit PSCCH/PSSCH or if it does not receive PSFCH due to prioritization. This would result in the UE not being granted more resources for transmission of that TB although it would require them. </w:t>
      </w:r>
    </w:p>
    <w:p w14:paraId="45769AD2" w14:textId="77777777" w:rsidR="00352980" w:rsidRPr="00B224CF" w:rsidRDefault="00352980" w:rsidP="00352980">
      <w:pPr>
        <w:pStyle w:val="Proposal"/>
        <w:overflowPunct/>
        <w:autoSpaceDE/>
        <w:autoSpaceDN/>
        <w:adjustRightInd/>
        <w:spacing w:before="240" w:line="259" w:lineRule="auto"/>
        <w:jc w:val="left"/>
        <w:textAlignment w:val="auto"/>
        <w:rPr>
          <w:rFonts w:cs="Arial"/>
        </w:rPr>
      </w:pPr>
      <w:bookmarkStart w:id="12" w:name="_Toc24151941"/>
      <w:bookmarkStart w:id="13" w:name="_Toc32527135"/>
      <w:r w:rsidRPr="00B224CF">
        <w:rPr>
          <w:rFonts w:cs="Arial"/>
        </w:rPr>
        <w:t>If prioritization rules in the UE result in dropping a PS</w:t>
      </w:r>
      <w:r>
        <w:rPr>
          <w:rFonts w:cs="Arial"/>
        </w:rPr>
        <w:t>C</w:t>
      </w:r>
      <w:r w:rsidRPr="00B224CF">
        <w:rPr>
          <w:rFonts w:cs="Arial"/>
        </w:rPr>
        <w:t>CH/PSSCH transmission or not being able to receive a PSFCH, the TX UE reports NACK to the gNB.</w:t>
      </w:r>
      <w:bookmarkEnd w:id="12"/>
      <w:bookmarkEnd w:id="13"/>
    </w:p>
    <w:p w14:paraId="4CFEB1DE" w14:textId="67E2F1DC" w:rsidR="009A4FA4" w:rsidRDefault="00352980" w:rsidP="009A4FA4">
      <w:pPr>
        <w:spacing w:before="240"/>
        <w:jc w:val="both"/>
        <w:rPr>
          <w:rFonts w:ascii="Arial" w:hAnsi="Arial" w:cs="Arial"/>
        </w:rPr>
      </w:pPr>
      <w:r w:rsidRPr="00B224CF">
        <w:rPr>
          <w:rFonts w:ascii="Arial" w:hAnsi="Arial" w:cs="Arial"/>
        </w:rPr>
        <w:t xml:space="preserve">The LS by SA2 </w:t>
      </w:r>
      <w:r w:rsidRPr="00B224CF">
        <w:rPr>
          <w:rFonts w:ascii="Arial" w:hAnsi="Arial" w:cs="Arial"/>
        </w:rPr>
        <w:fldChar w:fldCharType="begin"/>
      </w:r>
      <w:r w:rsidRPr="00B224CF">
        <w:rPr>
          <w:rFonts w:ascii="Arial" w:hAnsi="Arial" w:cs="Arial"/>
        </w:rPr>
        <w:instrText xml:space="preserve"> REF _Ref23496965 \r \h  \* MERGEFORMAT </w:instrText>
      </w:r>
      <w:r w:rsidRPr="00B224CF">
        <w:rPr>
          <w:rFonts w:ascii="Arial" w:hAnsi="Arial" w:cs="Arial"/>
        </w:rPr>
      </w:r>
      <w:r w:rsidRPr="00B224CF">
        <w:rPr>
          <w:rFonts w:ascii="Arial" w:hAnsi="Arial" w:cs="Arial"/>
        </w:rPr>
        <w:fldChar w:fldCharType="separate"/>
      </w:r>
      <w:r>
        <w:rPr>
          <w:rFonts w:ascii="Arial" w:hAnsi="Arial" w:cs="Arial"/>
        </w:rPr>
        <w:t>[6]</w:t>
      </w:r>
      <w:r w:rsidRPr="00B224CF">
        <w:rPr>
          <w:rFonts w:ascii="Arial" w:hAnsi="Arial" w:cs="Arial"/>
        </w:rPr>
        <w:fldChar w:fldCharType="end"/>
      </w:r>
      <w:r w:rsidRPr="00B224CF">
        <w:rPr>
          <w:rFonts w:ascii="Arial" w:hAnsi="Arial" w:cs="Arial"/>
        </w:rPr>
        <w:t xml:space="preserve"> states that the V2X application layer provides “a group size” and “a member ID”. </w:t>
      </w:r>
      <w:r w:rsidR="009A4FA4">
        <w:rPr>
          <w:rFonts w:ascii="Arial" w:hAnsi="Arial" w:cs="Arial"/>
        </w:rPr>
        <w:t xml:space="preserve">Moreover, RAN1 has assumed that </w:t>
      </w:r>
      <w:r w:rsidR="009A4FA4" w:rsidRPr="009A4FA4">
        <w:rPr>
          <w:rFonts w:ascii="Arial" w:hAnsi="Arial" w:cs="Arial"/>
        </w:rPr>
        <w:t>the member ID M is an integer between 0 and X-1</w:t>
      </w:r>
      <w:r w:rsidR="00102E04">
        <w:rPr>
          <w:rFonts w:ascii="Arial" w:hAnsi="Arial" w:cs="Arial"/>
        </w:rPr>
        <w:t>, where X corresponds to the group size. Thus, the TX UEs can differentiate the PSFCH transmissions for the different RX UEs and identify whether some expected PSFCH is missing.</w:t>
      </w:r>
    </w:p>
    <w:p w14:paraId="08657F22" w14:textId="7C737935" w:rsidR="00B42AA2" w:rsidRPr="00B42AA2" w:rsidRDefault="00B42AA2" w:rsidP="004D53FB">
      <w:pPr>
        <w:pStyle w:val="Proposal"/>
      </w:pPr>
      <w:bookmarkStart w:id="14" w:name="_Toc32527136"/>
      <w:r w:rsidRPr="00B42AA2">
        <w:t>In groupcast option 2</w:t>
      </w:r>
      <w:r w:rsidRPr="004D53FB">
        <w:t>, w</w:t>
      </w:r>
      <w:r w:rsidRPr="00B42AA2">
        <w:t>hen SL HARQ-ACK reporting to the gNB is used the TX UE reports NACK to the gNB if does not detect some expected PSFCH.</w:t>
      </w:r>
      <w:bookmarkEnd w:id="14"/>
    </w:p>
    <w:p w14:paraId="16DB2B29" w14:textId="77777777" w:rsidR="00352980" w:rsidRPr="00B224CF" w:rsidRDefault="00352980" w:rsidP="00B42AA2">
      <w:pPr>
        <w:spacing w:before="240" w:after="240"/>
        <w:jc w:val="both"/>
        <w:rPr>
          <w:rFonts w:ascii="Arial" w:hAnsi="Arial" w:cs="Arial"/>
        </w:rPr>
      </w:pPr>
      <w:r w:rsidRPr="00B224CF">
        <w:rPr>
          <w:rFonts w:ascii="Arial" w:hAnsi="Arial" w:cs="Arial"/>
        </w:rPr>
        <w:t xml:space="preserve">For case with PSFCHs corresponding to multiple PSCCH/PSSCH transmissions before generating the HARQ-ACK report, which was also left FFS, our view is that the TX UE should also use the most recent PSFCH occasion (like for unicast and groupcast). In this way, the TX UE sends ACK/NACK based on the already-agreed conditions. </w:t>
      </w:r>
    </w:p>
    <w:p w14:paraId="71138168" w14:textId="77777777" w:rsidR="00352980" w:rsidRPr="00B224CF" w:rsidRDefault="00352980" w:rsidP="00B42AA2">
      <w:pPr>
        <w:pStyle w:val="Proposal"/>
        <w:overflowPunct/>
        <w:autoSpaceDE/>
        <w:autoSpaceDN/>
        <w:adjustRightInd/>
        <w:spacing w:line="259" w:lineRule="auto"/>
        <w:textAlignment w:val="auto"/>
        <w:rPr>
          <w:rFonts w:cs="Arial"/>
        </w:rPr>
      </w:pPr>
      <w:bookmarkStart w:id="15" w:name="_Toc24151943"/>
      <w:bookmarkStart w:id="16" w:name="_Toc32527137"/>
      <w:r w:rsidRPr="00B224CF">
        <w:rPr>
          <w:rFonts w:cs="Arial"/>
        </w:rPr>
        <w:t>For groupcast option 2, when generating the HARQ-ACK report for the transmissions corresponding to a grant, the TX UE uses the most recent PSFCH occasion associated with the transmissions.</w:t>
      </w:r>
      <w:bookmarkEnd w:id="15"/>
      <w:bookmarkEnd w:id="16"/>
    </w:p>
    <w:p w14:paraId="145877DB" w14:textId="77777777" w:rsidR="00352980" w:rsidRPr="00B224CF" w:rsidRDefault="00352980" w:rsidP="00B42AA2">
      <w:pPr>
        <w:spacing w:before="240"/>
        <w:jc w:val="both"/>
        <w:rPr>
          <w:rFonts w:ascii="Arial" w:hAnsi="Arial" w:cs="Arial"/>
        </w:rPr>
      </w:pPr>
      <w:r w:rsidRPr="00B224CF">
        <w:rPr>
          <w:rFonts w:ascii="Arial" w:hAnsi="Arial" w:cs="Arial"/>
        </w:rPr>
        <w:t>Regarding the case that no PSCCH/PSSCH is transmitted in a set of resources for configured grant, we distinguish three cases.</w:t>
      </w:r>
    </w:p>
    <w:p w14:paraId="20FAD6D1" w14:textId="77777777" w:rsidR="00352980" w:rsidRPr="00B224CF" w:rsidRDefault="00352980" w:rsidP="00B42AA2">
      <w:pPr>
        <w:pStyle w:val="ListParagraph"/>
        <w:numPr>
          <w:ilvl w:val="0"/>
          <w:numId w:val="25"/>
        </w:numPr>
        <w:overflowPunct/>
        <w:autoSpaceDE/>
        <w:autoSpaceDN/>
        <w:adjustRightInd/>
        <w:spacing w:before="240" w:after="240" w:line="259" w:lineRule="auto"/>
        <w:jc w:val="both"/>
        <w:textAlignment w:val="auto"/>
        <w:rPr>
          <w:rFonts w:ascii="Arial" w:hAnsi="Arial" w:cs="Arial"/>
          <w:sz w:val="20"/>
          <w:szCs w:val="20"/>
        </w:rPr>
      </w:pPr>
      <w:r w:rsidRPr="00B224CF">
        <w:rPr>
          <w:rFonts w:ascii="Arial" w:hAnsi="Arial" w:cs="Arial"/>
          <w:sz w:val="20"/>
          <w:szCs w:val="20"/>
        </w:rPr>
        <w:t>For groupcast option 1</w:t>
      </w:r>
      <w:r w:rsidRPr="00B224CF">
        <w:rPr>
          <w:rFonts w:ascii="Arial" w:hAnsi="Arial" w:cs="Arial"/>
          <w:sz w:val="20"/>
          <w:szCs w:val="20"/>
          <w:lang w:val="en-US"/>
        </w:rPr>
        <w:t>, the existing agreement would result in ACK being conveyed to the gNB because no PSFCH would be detected.</w:t>
      </w:r>
    </w:p>
    <w:p w14:paraId="520FC3A0" w14:textId="77777777" w:rsidR="00352980" w:rsidRPr="00B224CF" w:rsidRDefault="00352980" w:rsidP="00B42AA2">
      <w:pPr>
        <w:pStyle w:val="ListParagraph"/>
        <w:numPr>
          <w:ilvl w:val="0"/>
          <w:numId w:val="25"/>
        </w:numPr>
        <w:overflowPunct/>
        <w:autoSpaceDE/>
        <w:autoSpaceDN/>
        <w:adjustRightInd/>
        <w:spacing w:after="240" w:line="259" w:lineRule="auto"/>
        <w:jc w:val="both"/>
        <w:textAlignment w:val="auto"/>
        <w:rPr>
          <w:rFonts w:ascii="Arial" w:hAnsi="Arial" w:cs="Arial"/>
          <w:sz w:val="20"/>
          <w:szCs w:val="20"/>
        </w:rPr>
      </w:pPr>
      <w:r w:rsidRPr="00B224CF">
        <w:rPr>
          <w:rFonts w:ascii="Arial" w:hAnsi="Arial" w:cs="Arial"/>
          <w:sz w:val="20"/>
          <w:szCs w:val="20"/>
          <w:lang w:val="en-US"/>
        </w:rPr>
        <w:t>For unicast and groupcast option 2, there would be no “PSFCH occasion associated with the transmissions” and, consequently, the behavior is unclear. We propose to report ACK in that case.</w:t>
      </w:r>
    </w:p>
    <w:p w14:paraId="41D0B7B4" w14:textId="6678069E" w:rsidR="00352980" w:rsidRDefault="00352980" w:rsidP="00B42AA2">
      <w:pPr>
        <w:pStyle w:val="Proposal"/>
        <w:overflowPunct/>
        <w:autoSpaceDE/>
        <w:autoSpaceDN/>
        <w:adjustRightInd/>
        <w:spacing w:line="259" w:lineRule="auto"/>
        <w:textAlignment w:val="auto"/>
        <w:rPr>
          <w:rFonts w:cs="Arial"/>
        </w:rPr>
      </w:pPr>
      <w:bookmarkStart w:id="17" w:name="_Toc24151944"/>
      <w:bookmarkStart w:id="18" w:name="_Toc32527138"/>
      <w:r w:rsidRPr="00B224CF">
        <w:rPr>
          <w:rFonts w:cs="Arial"/>
        </w:rPr>
        <w:t>For unicast groupcast option 2, the TX UE reports ACK to the gNB if no PSCCH/PSSCH is transmitted in a set of resources for configured grant</w:t>
      </w:r>
      <w:bookmarkEnd w:id="17"/>
      <w:r w:rsidR="00D13745">
        <w:rPr>
          <w:rFonts w:cs="Arial"/>
        </w:rPr>
        <w:t>.</w:t>
      </w:r>
      <w:bookmarkEnd w:id="18"/>
    </w:p>
    <w:p w14:paraId="25A2CC2B" w14:textId="229A1386" w:rsidR="00D13745" w:rsidRPr="00D13745" w:rsidRDefault="00D13745" w:rsidP="00D13745">
      <w:pPr>
        <w:spacing w:before="240"/>
        <w:jc w:val="both"/>
        <w:rPr>
          <w:rFonts w:ascii="Arial" w:hAnsi="Arial" w:cs="Arial"/>
        </w:rPr>
      </w:pPr>
      <w:r>
        <w:rPr>
          <w:rFonts w:ascii="Arial" w:hAnsi="Arial" w:cs="Arial"/>
        </w:rPr>
        <w:t>Our view is that, for Mode-1, whether to use SL HARQ FB or not should be controlled by the gNB. However, this is to be discussed in RAN2. From RAN1 perspective it is sufficient to say that, if SL HARQ-ACK reporting to the gNB is enabled but SL HARQ feedback is not used, ACK is reported.</w:t>
      </w:r>
    </w:p>
    <w:p w14:paraId="0C1170BA" w14:textId="09D8ABCC" w:rsidR="00D13745" w:rsidRDefault="00D13745" w:rsidP="00B42AA2">
      <w:pPr>
        <w:pStyle w:val="Proposal"/>
        <w:overflowPunct/>
        <w:autoSpaceDE/>
        <w:autoSpaceDN/>
        <w:adjustRightInd/>
        <w:spacing w:line="259" w:lineRule="auto"/>
        <w:textAlignment w:val="auto"/>
        <w:rPr>
          <w:rFonts w:cs="Arial"/>
        </w:rPr>
      </w:pPr>
      <w:bookmarkStart w:id="19" w:name="_Toc32527139"/>
      <w:r>
        <w:rPr>
          <w:rFonts w:cs="Arial"/>
        </w:rPr>
        <w:t>I</w:t>
      </w:r>
      <w:r w:rsidRPr="00D13745">
        <w:rPr>
          <w:rFonts w:cs="Arial"/>
        </w:rPr>
        <w:t xml:space="preserve">f SL HARQ-ACK reporting to the gNB is enabled but SL HARQ feedback is not used, </w:t>
      </w:r>
      <w:r>
        <w:rPr>
          <w:rFonts w:cs="Arial"/>
        </w:rPr>
        <w:t xml:space="preserve">the UE reports </w:t>
      </w:r>
      <w:r w:rsidRPr="00D13745">
        <w:rPr>
          <w:rFonts w:cs="Arial"/>
        </w:rPr>
        <w:t>ACK</w:t>
      </w:r>
      <w:r>
        <w:rPr>
          <w:rFonts w:cs="Arial"/>
        </w:rPr>
        <w:t>.</w:t>
      </w:r>
      <w:bookmarkEnd w:id="19"/>
    </w:p>
    <w:p w14:paraId="584356F2" w14:textId="3CFFCA26" w:rsidR="006D76A3" w:rsidRDefault="006D76A3" w:rsidP="006D76A3">
      <w:pPr>
        <w:pStyle w:val="Heading2"/>
      </w:pPr>
      <w:r>
        <w:lastRenderedPageBreak/>
        <w:t>5.2</w:t>
      </w:r>
      <w:r>
        <w:tab/>
        <w:t>SL HARQ multiplexing</w:t>
      </w:r>
    </w:p>
    <w:p w14:paraId="7D11983D" w14:textId="77777777" w:rsidR="006D76A3" w:rsidRDefault="006D76A3" w:rsidP="006D76A3">
      <w:pPr>
        <w:spacing w:after="0"/>
        <w:jc w:val="both"/>
        <w:rPr>
          <w:rFonts w:ascii="Arial" w:hAnsi="Arial" w:cs="Arial"/>
        </w:rPr>
      </w:pPr>
      <w:r>
        <w:rPr>
          <w:rFonts w:ascii="Arial" w:hAnsi="Arial" w:cs="Arial"/>
        </w:rPr>
        <w:t>For DL HARQ acknowledgements, NR provides a framework for transmitting multiple DL HARQ acknowledgements in UL. Multiplexing can be done using a semi-static (Type-1) codebook or a dynamic (Type-2) codebook.</w:t>
      </w:r>
    </w:p>
    <w:p w14:paraId="270A5C5D" w14:textId="77777777" w:rsidR="006D76A3" w:rsidRDefault="006D76A3" w:rsidP="006D76A3">
      <w:pPr>
        <w:spacing w:before="240" w:after="0"/>
        <w:jc w:val="both"/>
        <w:rPr>
          <w:rFonts w:ascii="Arial" w:hAnsi="Arial" w:cs="Arial"/>
        </w:rPr>
      </w:pPr>
      <w:r>
        <w:rPr>
          <w:rFonts w:ascii="Arial" w:hAnsi="Arial" w:cs="Arial"/>
        </w:rPr>
        <w:t>The semi-static (Type-1) codebook is configured based on a few RRC parameters (number of carriers, CBG configuration, configured PDSCH-to-HARQ_feedback timing values, etc.). In TS 38.213, two procedures are described in terms of pseudo code to generate the codebook:</w:t>
      </w:r>
    </w:p>
    <w:p w14:paraId="53862D88" w14:textId="77777777" w:rsidR="006D76A3" w:rsidRDefault="006D76A3" w:rsidP="006D76A3">
      <w:pPr>
        <w:pStyle w:val="ListParagraph"/>
        <w:numPr>
          <w:ilvl w:val="0"/>
          <w:numId w:val="33"/>
        </w:numPr>
        <w:overflowPunct/>
        <w:autoSpaceDE/>
        <w:autoSpaceDN/>
        <w:adjustRightInd/>
        <w:spacing w:before="240" w:line="256" w:lineRule="auto"/>
        <w:jc w:val="both"/>
        <w:textAlignment w:val="auto"/>
        <w:rPr>
          <w:rFonts w:ascii="Arial" w:hAnsi="Arial" w:cs="Arial"/>
          <w:sz w:val="20"/>
          <w:szCs w:val="20"/>
          <w:lang w:val="en-GB" w:eastAsia="ja-JP"/>
        </w:rPr>
      </w:pPr>
      <w:r>
        <w:rPr>
          <w:rFonts w:ascii="Arial" w:hAnsi="Arial" w:cs="Arial"/>
          <w:sz w:val="20"/>
          <w:szCs w:val="20"/>
          <w:lang w:val="en-GB" w:eastAsia="ja-JP"/>
        </w:rPr>
        <w:t>The first pseudo-code determines a set of occasions for candidate PDSCH receptions for which the UE can transmit corresponding HARQ-ACK information in PUCCH (for an active cell, and a DL-BWP, and an UL-BWP).</w:t>
      </w:r>
    </w:p>
    <w:p w14:paraId="5D8D9AC3" w14:textId="77777777" w:rsidR="006D76A3" w:rsidRDefault="006D76A3" w:rsidP="006D76A3">
      <w:pPr>
        <w:pStyle w:val="ListParagraph"/>
        <w:numPr>
          <w:ilvl w:val="0"/>
          <w:numId w:val="33"/>
        </w:numPr>
        <w:overflowPunct/>
        <w:autoSpaceDE/>
        <w:autoSpaceDN/>
        <w:adjustRightInd/>
        <w:spacing w:before="240" w:line="256" w:lineRule="auto"/>
        <w:jc w:val="both"/>
        <w:textAlignment w:val="auto"/>
        <w:rPr>
          <w:rFonts w:ascii="Arial" w:hAnsi="Arial" w:cs="Arial"/>
          <w:sz w:val="20"/>
          <w:szCs w:val="20"/>
          <w:lang w:val="en-GB" w:eastAsia="ja-JP"/>
        </w:rPr>
      </w:pPr>
      <w:r>
        <w:rPr>
          <w:rFonts w:ascii="Arial" w:hAnsi="Arial" w:cs="Arial"/>
          <w:sz w:val="20"/>
          <w:szCs w:val="20"/>
          <w:lang w:val="en-GB" w:eastAsia="ja-JP"/>
        </w:rPr>
        <w:t xml:space="preserve">The second pseudo-code determines the HARQ-ACK information bits (for the serving cells configured for the UE). </w:t>
      </w:r>
    </w:p>
    <w:p w14:paraId="1C771B4F" w14:textId="77777777" w:rsidR="006D76A3" w:rsidRDefault="006D76A3" w:rsidP="006D76A3">
      <w:pPr>
        <w:spacing w:before="240" w:after="0"/>
        <w:jc w:val="both"/>
        <w:rPr>
          <w:rFonts w:ascii="Arial" w:hAnsi="Arial" w:cs="Arial"/>
        </w:rPr>
      </w:pPr>
      <w:r>
        <w:rPr>
          <w:rFonts w:ascii="Arial" w:hAnsi="Arial" w:cs="Arial"/>
        </w:rPr>
        <w:t>The legacy codebook for DL HARQ acknowledgements can be described as a table where rows correspond to cells/CBGs/TBs and columns correspond to configured K</w:t>
      </w:r>
      <w:r>
        <w:rPr>
          <w:rFonts w:ascii="Arial" w:hAnsi="Arial" w:cs="Arial"/>
          <w:vertAlign w:val="subscript"/>
        </w:rPr>
        <w:t>1</w:t>
      </w:r>
      <w:r>
        <w:rPr>
          <w:rFonts w:ascii="Arial" w:hAnsi="Arial" w:cs="Arial"/>
        </w:rPr>
        <w:t xml:space="preserve"> values. Each of the entries in the table corresponds to a potential scheduling of a TB (or CBG). ACK is used if the TB (or CBG) was correctly decoded and NACK is used otherwise. </w:t>
      </w:r>
    </w:p>
    <w:p w14:paraId="205F71D4" w14:textId="77777777" w:rsidR="006D76A3" w:rsidRDefault="006D76A3" w:rsidP="006D76A3">
      <w:pPr>
        <w:spacing w:before="240" w:after="0"/>
        <w:jc w:val="both"/>
        <w:rPr>
          <w:rFonts w:ascii="Arial" w:hAnsi="Arial" w:cs="Arial"/>
        </w:rPr>
      </w:pPr>
      <w:r>
        <w:rPr>
          <w:rFonts w:ascii="Arial" w:hAnsi="Arial" w:cs="Arial"/>
        </w:rPr>
        <w:t>As agreed, the SL HARQ-ACK bits are generated using the Rel-15 procedures. To this end, the following changes are necessary to the procedure:</w:t>
      </w:r>
    </w:p>
    <w:p w14:paraId="089E9A7A" w14:textId="77777777" w:rsidR="006D76A3" w:rsidRDefault="006D76A3" w:rsidP="006D76A3">
      <w:pPr>
        <w:pStyle w:val="ListParagraph"/>
        <w:numPr>
          <w:ilvl w:val="0"/>
          <w:numId w:val="34"/>
        </w:numPr>
        <w:overflowPunct/>
        <w:autoSpaceDE/>
        <w:autoSpaceDN/>
        <w:adjustRightInd/>
        <w:spacing w:before="240" w:line="256" w:lineRule="auto"/>
        <w:jc w:val="both"/>
        <w:textAlignment w:val="auto"/>
        <w:rPr>
          <w:rFonts w:ascii="Arial" w:hAnsi="Arial" w:cs="Arial"/>
          <w:sz w:val="20"/>
          <w:szCs w:val="20"/>
          <w:lang w:val="en-GB" w:eastAsia="ja-JP"/>
        </w:rPr>
      </w:pPr>
      <w:r>
        <w:rPr>
          <w:rFonts w:ascii="Arial" w:hAnsi="Arial" w:cs="Arial"/>
          <w:sz w:val="20"/>
          <w:szCs w:val="20"/>
          <w:lang w:val="en-GB" w:eastAsia="ja-JP"/>
        </w:rPr>
        <w:t>Determine candidate PDCCH occasions carrying DCI dynamic grant or PDCCH releasing SPS configured grant type-1.</w:t>
      </w:r>
    </w:p>
    <w:p w14:paraId="4798E03C" w14:textId="6625042F" w:rsidR="006D76A3" w:rsidRDefault="006D76A3" w:rsidP="006D76A3">
      <w:pPr>
        <w:pStyle w:val="ListParagraph"/>
        <w:numPr>
          <w:ilvl w:val="0"/>
          <w:numId w:val="34"/>
        </w:numPr>
        <w:overflowPunct/>
        <w:autoSpaceDE/>
        <w:autoSpaceDN/>
        <w:adjustRightInd/>
        <w:spacing w:before="240" w:line="256" w:lineRule="auto"/>
        <w:jc w:val="both"/>
        <w:textAlignment w:val="auto"/>
        <w:rPr>
          <w:rFonts w:ascii="Arial" w:hAnsi="Arial" w:cs="Arial"/>
          <w:sz w:val="20"/>
          <w:szCs w:val="20"/>
          <w:lang w:val="en-GB" w:eastAsia="ja-JP"/>
        </w:rPr>
      </w:pPr>
      <w:r>
        <w:rPr>
          <w:rFonts w:ascii="Arial" w:hAnsi="Arial" w:cs="Arial"/>
          <w:sz w:val="20"/>
          <w:szCs w:val="20"/>
          <w:lang w:val="en-GB" w:eastAsia="ja-JP"/>
        </w:rPr>
        <w:t>Codebook size is determined by PSFCH-to-PUCCH configured values.</w:t>
      </w:r>
    </w:p>
    <w:p w14:paraId="4EDF3430" w14:textId="77777777" w:rsidR="006D76A3" w:rsidRDefault="006D76A3" w:rsidP="006D76A3">
      <w:pPr>
        <w:spacing w:before="240" w:after="0"/>
        <w:jc w:val="both"/>
        <w:rPr>
          <w:rFonts w:ascii="Arial" w:hAnsi="Arial" w:cs="Arial"/>
        </w:rPr>
      </w:pPr>
      <w:r>
        <w:rPr>
          <w:rFonts w:ascii="Arial" w:hAnsi="Arial" w:cs="Arial"/>
        </w:rPr>
        <w:t>Some simplifications to the procedure are possible. For example, HARQ-ACK spatial bundling is not necessary, single HARQ-ACK bit is reported, etc. In addition, it may also be reasonable to restrict SL scheduling to come from a single DL carrier.</w:t>
      </w:r>
    </w:p>
    <w:p w14:paraId="63E1FFD5" w14:textId="77777777" w:rsidR="006D76A3" w:rsidRDefault="006D76A3" w:rsidP="00E82B0C">
      <w:pPr>
        <w:pStyle w:val="Proposal"/>
        <w:spacing w:before="240"/>
        <w:rPr>
          <w:szCs w:val="22"/>
        </w:rPr>
      </w:pPr>
      <w:bookmarkStart w:id="20" w:name="_Toc24151932"/>
      <w:bookmarkStart w:id="21" w:name="_Toc32527140"/>
      <w:r>
        <w:t>For Type-1 codebook:</w:t>
      </w:r>
      <w:bookmarkEnd w:id="20"/>
      <w:bookmarkEnd w:id="21"/>
    </w:p>
    <w:p w14:paraId="70208BE2" w14:textId="77777777" w:rsidR="006D76A3" w:rsidRDefault="006D76A3" w:rsidP="006D76A3">
      <w:pPr>
        <w:pStyle w:val="Proposal"/>
        <w:numPr>
          <w:ilvl w:val="0"/>
          <w:numId w:val="35"/>
        </w:numPr>
        <w:overflowPunct/>
        <w:autoSpaceDE/>
        <w:autoSpaceDN/>
        <w:adjustRightInd/>
        <w:spacing w:line="256" w:lineRule="auto"/>
        <w:jc w:val="left"/>
        <w:textAlignment w:val="auto"/>
        <w:rPr>
          <w:rFonts w:cs="Arial"/>
          <w:lang w:eastAsia="ja-JP"/>
        </w:rPr>
      </w:pPr>
      <w:bookmarkStart w:id="22" w:name="_Toc24151933"/>
      <w:bookmarkStart w:id="23" w:name="_Toc32527141"/>
      <w:r>
        <w:rPr>
          <w:rFonts w:cs="Arial"/>
          <w:lang w:eastAsia="ja-JP"/>
        </w:rPr>
        <w:t>UE determines occasions for candidate PDCCH receptions carrying SL grant or PDCCH releasing SPS configured grant type-1 with PUCCH in the same slot based on PDCCH-to-PUCCH configured values.</w:t>
      </w:r>
      <w:bookmarkEnd w:id="22"/>
      <w:bookmarkEnd w:id="23"/>
    </w:p>
    <w:p w14:paraId="2BA34075" w14:textId="77777777" w:rsidR="006D76A3" w:rsidRDefault="006D76A3" w:rsidP="006D76A3">
      <w:pPr>
        <w:pStyle w:val="Proposal"/>
        <w:numPr>
          <w:ilvl w:val="0"/>
          <w:numId w:val="35"/>
        </w:numPr>
        <w:overflowPunct/>
        <w:autoSpaceDE/>
        <w:autoSpaceDN/>
        <w:adjustRightInd/>
        <w:spacing w:line="256" w:lineRule="auto"/>
        <w:jc w:val="left"/>
        <w:textAlignment w:val="auto"/>
        <w:rPr>
          <w:rFonts w:cs="Arial"/>
          <w:lang w:eastAsia="ja-JP"/>
        </w:rPr>
      </w:pPr>
      <w:bookmarkStart w:id="24" w:name="_Toc24151934"/>
      <w:bookmarkStart w:id="25" w:name="_Toc32527142"/>
      <w:r>
        <w:rPr>
          <w:rFonts w:cs="Arial"/>
          <w:lang w:eastAsia="ja-JP"/>
        </w:rPr>
        <w:t>For each candidate, one HARQ-ACK bit is reported.</w:t>
      </w:r>
      <w:bookmarkEnd w:id="24"/>
      <w:bookmarkEnd w:id="25"/>
    </w:p>
    <w:p w14:paraId="30EC9CF3" w14:textId="77777777" w:rsidR="006D76A3" w:rsidRDefault="006D76A3" w:rsidP="006D76A3">
      <w:pPr>
        <w:pStyle w:val="Caption"/>
        <w:keepNext/>
        <w:spacing w:after="0"/>
        <w:jc w:val="center"/>
        <w:rPr>
          <w:rFonts w:ascii="Arial" w:hAnsi="Arial" w:cs="Arial"/>
          <w:lang w:val="fi-FI"/>
        </w:rPr>
      </w:pPr>
      <w:bookmarkStart w:id="26" w:name="_Ref20778791"/>
      <w:r>
        <w:rPr>
          <w:rFonts w:ascii="Arial" w:hAnsi="Arial" w:cs="Arial"/>
        </w:rPr>
        <w:t xml:space="preserve">Table </w:t>
      </w:r>
      <w:r>
        <w:fldChar w:fldCharType="begin"/>
      </w:r>
      <w:r>
        <w:rPr>
          <w:rFonts w:ascii="Arial" w:hAnsi="Arial" w:cs="Arial"/>
        </w:rPr>
        <w:instrText xml:space="preserve"> SEQ Table \* ARABIC </w:instrText>
      </w:r>
      <w:r>
        <w:fldChar w:fldCharType="separate"/>
      </w:r>
      <w:r>
        <w:rPr>
          <w:rFonts w:ascii="Arial" w:hAnsi="Arial" w:cs="Arial"/>
          <w:noProof/>
        </w:rPr>
        <w:t>1</w:t>
      </w:r>
      <w:r>
        <w:fldChar w:fldCharType="end"/>
      </w:r>
      <w:bookmarkEnd w:id="26"/>
      <w:r>
        <w:rPr>
          <w:rFonts w:ascii="Arial" w:hAnsi="Arial" w:cs="Arial"/>
        </w:rPr>
        <w:t>. Semi-static (Type-1) codebook for conveying multiple SL HARQ acknowledgements in UL.</w:t>
      </w:r>
    </w:p>
    <w:tbl>
      <w:tblPr>
        <w:tblStyle w:val="TableGrid"/>
        <w:tblW w:w="0" w:type="auto"/>
        <w:jc w:val="center"/>
        <w:tblLook w:val="04A0" w:firstRow="1" w:lastRow="0" w:firstColumn="1" w:lastColumn="0" w:noHBand="0" w:noVBand="1"/>
      </w:tblPr>
      <w:tblGrid>
        <w:gridCol w:w="3851"/>
        <w:gridCol w:w="1926"/>
        <w:gridCol w:w="1926"/>
        <w:gridCol w:w="1926"/>
      </w:tblGrid>
      <w:tr w:rsidR="006D76A3" w14:paraId="2AB298B9" w14:textId="77777777" w:rsidTr="006D76A3">
        <w:trPr>
          <w:jc w:val="center"/>
        </w:trPr>
        <w:tc>
          <w:tcPr>
            <w:tcW w:w="3851" w:type="dxa"/>
            <w:vMerge w:val="restart"/>
            <w:tcBorders>
              <w:top w:val="single" w:sz="4" w:space="0" w:color="auto"/>
              <w:left w:val="single" w:sz="4" w:space="0" w:color="auto"/>
              <w:bottom w:val="single" w:sz="4" w:space="0" w:color="auto"/>
              <w:right w:val="single" w:sz="4" w:space="0" w:color="auto"/>
            </w:tcBorders>
            <w:vAlign w:val="center"/>
            <w:hideMark/>
          </w:tcPr>
          <w:p w14:paraId="004DE4F5" w14:textId="77777777" w:rsidR="006D76A3" w:rsidRDefault="006D76A3">
            <w:pPr>
              <w:spacing w:before="240"/>
              <w:jc w:val="center"/>
              <w:rPr>
                <w:rFonts w:ascii="Arial" w:hAnsi="Arial" w:cs="Arial"/>
                <w:b/>
                <w:sz w:val="20"/>
                <w:szCs w:val="20"/>
                <w:lang w:val="en-GB"/>
              </w:rPr>
            </w:pPr>
            <w:r>
              <w:rPr>
                <w:rFonts w:ascii="Arial" w:hAnsi="Arial" w:cs="Arial"/>
                <w:b/>
                <w:sz w:val="20"/>
                <w:szCs w:val="20"/>
                <w:lang w:val="en-GB"/>
              </w:rPr>
              <w:t>Sidelink</w:t>
            </w:r>
          </w:p>
        </w:tc>
        <w:tc>
          <w:tcPr>
            <w:tcW w:w="5778" w:type="dxa"/>
            <w:gridSpan w:val="3"/>
            <w:tcBorders>
              <w:top w:val="single" w:sz="4" w:space="0" w:color="auto"/>
              <w:left w:val="single" w:sz="4" w:space="0" w:color="auto"/>
              <w:bottom w:val="single" w:sz="4" w:space="0" w:color="auto"/>
              <w:right w:val="single" w:sz="4" w:space="0" w:color="auto"/>
            </w:tcBorders>
            <w:hideMark/>
          </w:tcPr>
          <w:p w14:paraId="475533D7" w14:textId="77777777" w:rsidR="006D76A3" w:rsidRDefault="006D76A3">
            <w:pPr>
              <w:spacing w:before="240"/>
              <w:jc w:val="center"/>
              <w:rPr>
                <w:rFonts w:ascii="Arial" w:hAnsi="Arial" w:cs="Arial"/>
                <w:sz w:val="20"/>
                <w:szCs w:val="20"/>
                <w:lang w:val="en-GB"/>
              </w:rPr>
            </w:pPr>
            <w:r>
              <w:rPr>
                <w:rFonts w:ascii="Arial" w:hAnsi="Arial" w:cs="Arial"/>
                <w:b/>
                <w:sz w:val="20"/>
                <w:szCs w:val="20"/>
                <w:lang w:val="en-GB"/>
              </w:rPr>
              <w:t>PDCCH-to-PUCCH values (SL)</w:t>
            </w:r>
          </w:p>
        </w:tc>
      </w:tr>
      <w:tr w:rsidR="006D76A3" w14:paraId="12F0032D" w14:textId="77777777" w:rsidTr="006D76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9BC5D" w14:textId="77777777" w:rsidR="006D76A3" w:rsidRDefault="006D76A3">
            <w:pPr>
              <w:spacing w:after="0"/>
              <w:rPr>
                <w:rFonts w:ascii="Arial" w:eastAsiaTheme="minorHAnsi" w:hAnsi="Arial" w:cs="Arial"/>
                <w:b/>
                <w:sz w:val="20"/>
                <w:szCs w:val="20"/>
                <w:lang w:val="en-GB"/>
              </w:rPr>
            </w:pPr>
          </w:p>
        </w:tc>
        <w:tc>
          <w:tcPr>
            <w:tcW w:w="1926" w:type="dxa"/>
            <w:tcBorders>
              <w:top w:val="single" w:sz="4" w:space="0" w:color="auto"/>
              <w:left w:val="single" w:sz="4" w:space="0" w:color="auto"/>
              <w:bottom w:val="double" w:sz="12" w:space="0" w:color="auto"/>
              <w:right w:val="single" w:sz="4" w:space="0" w:color="auto"/>
            </w:tcBorders>
            <w:hideMark/>
          </w:tcPr>
          <w:p w14:paraId="44DBF661" w14:textId="77777777" w:rsidR="006D76A3" w:rsidRDefault="006D76A3">
            <w:pPr>
              <w:spacing w:before="240"/>
              <w:jc w:val="center"/>
              <w:rPr>
                <w:rFonts w:ascii="Arial" w:hAnsi="Arial" w:cs="Arial"/>
                <w:b/>
                <w:sz w:val="20"/>
                <w:szCs w:val="20"/>
                <w:lang w:val="en-GB"/>
              </w:rPr>
            </w:pPr>
            <w:r>
              <w:rPr>
                <w:rFonts w:ascii="Arial" w:hAnsi="Arial" w:cs="Arial"/>
                <w:b/>
                <w:sz w:val="20"/>
                <w:szCs w:val="20"/>
                <w:lang w:val="en-GB"/>
              </w:rPr>
              <w:t>Value A</w:t>
            </w:r>
          </w:p>
        </w:tc>
        <w:tc>
          <w:tcPr>
            <w:tcW w:w="1926" w:type="dxa"/>
            <w:tcBorders>
              <w:top w:val="single" w:sz="4" w:space="0" w:color="auto"/>
              <w:left w:val="single" w:sz="4" w:space="0" w:color="auto"/>
              <w:bottom w:val="double" w:sz="12" w:space="0" w:color="auto"/>
              <w:right w:val="single" w:sz="4" w:space="0" w:color="auto"/>
            </w:tcBorders>
            <w:hideMark/>
          </w:tcPr>
          <w:p w14:paraId="4587C2BA" w14:textId="77777777" w:rsidR="006D76A3" w:rsidRDefault="006D76A3">
            <w:pPr>
              <w:spacing w:before="240"/>
              <w:jc w:val="center"/>
              <w:rPr>
                <w:rFonts w:ascii="Arial" w:hAnsi="Arial" w:cs="Arial"/>
                <w:b/>
                <w:sz w:val="20"/>
                <w:szCs w:val="20"/>
                <w:lang w:val="en-GB"/>
              </w:rPr>
            </w:pPr>
            <w:r>
              <w:rPr>
                <w:rFonts w:ascii="Arial" w:hAnsi="Arial" w:cs="Arial"/>
                <w:b/>
                <w:sz w:val="20"/>
                <w:szCs w:val="20"/>
                <w:lang w:val="en-GB"/>
              </w:rPr>
              <w:t>Value B</w:t>
            </w:r>
          </w:p>
        </w:tc>
        <w:tc>
          <w:tcPr>
            <w:tcW w:w="1926" w:type="dxa"/>
            <w:tcBorders>
              <w:top w:val="single" w:sz="4" w:space="0" w:color="auto"/>
              <w:left w:val="single" w:sz="4" w:space="0" w:color="auto"/>
              <w:bottom w:val="double" w:sz="12" w:space="0" w:color="auto"/>
              <w:right w:val="single" w:sz="4" w:space="0" w:color="auto"/>
            </w:tcBorders>
            <w:hideMark/>
          </w:tcPr>
          <w:p w14:paraId="04462B19" w14:textId="77777777" w:rsidR="006D76A3" w:rsidRDefault="006D76A3">
            <w:pPr>
              <w:spacing w:before="240"/>
              <w:jc w:val="center"/>
              <w:rPr>
                <w:rFonts w:ascii="Arial" w:hAnsi="Arial" w:cs="Arial"/>
                <w:b/>
                <w:sz w:val="20"/>
                <w:szCs w:val="20"/>
                <w:lang w:val="en-GB"/>
              </w:rPr>
            </w:pPr>
            <w:r>
              <w:rPr>
                <w:rFonts w:ascii="Arial" w:hAnsi="Arial" w:cs="Arial"/>
                <w:b/>
                <w:sz w:val="20"/>
                <w:szCs w:val="20"/>
                <w:lang w:val="en-GB"/>
              </w:rPr>
              <w:t>Value C</w:t>
            </w:r>
          </w:p>
        </w:tc>
      </w:tr>
      <w:tr w:rsidR="006D76A3" w14:paraId="76362475" w14:textId="77777777" w:rsidTr="006D76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68574" w14:textId="77777777" w:rsidR="006D76A3" w:rsidRDefault="006D76A3">
            <w:pPr>
              <w:spacing w:after="0"/>
              <w:rPr>
                <w:rFonts w:ascii="Arial" w:eastAsiaTheme="minorHAnsi" w:hAnsi="Arial" w:cs="Arial"/>
                <w:b/>
                <w:sz w:val="20"/>
                <w:szCs w:val="20"/>
                <w:lang w:val="en-GB"/>
              </w:rPr>
            </w:pPr>
          </w:p>
        </w:tc>
        <w:tc>
          <w:tcPr>
            <w:tcW w:w="5778" w:type="dxa"/>
            <w:gridSpan w:val="3"/>
            <w:tcBorders>
              <w:top w:val="double" w:sz="12" w:space="0" w:color="auto"/>
              <w:left w:val="double" w:sz="12" w:space="0" w:color="auto"/>
              <w:bottom w:val="double" w:sz="12" w:space="0" w:color="auto"/>
              <w:right w:val="double" w:sz="12" w:space="0" w:color="auto"/>
            </w:tcBorders>
            <w:shd w:val="clear" w:color="auto" w:fill="BFBFBF" w:themeFill="background1" w:themeFillShade="BF"/>
            <w:hideMark/>
          </w:tcPr>
          <w:p w14:paraId="212A7E25" w14:textId="77777777" w:rsidR="006D76A3" w:rsidRDefault="006D76A3">
            <w:pPr>
              <w:spacing w:before="240"/>
              <w:jc w:val="center"/>
              <w:rPr>
                <w:rFonts w:ascii="Arial" w:hAnsi="Arial" w:cs="Arial"/>
                <w:b/>
                <w:sz w:val="20"/>
                <w:szCs w:val="20"/>
                <w:lang w:val="en-GB"/>
              </w:rPr>
            </w:pPr>
            <w:r>
              <w:rPr>
                <w:rFonts w:ascii="Arial" w:hAnsi="Arial" w:cs="Arial"/>
                <w:color w:val="FF0000"/>
                <w:sz w:val="20"/>
                <w:szCs w:val="20"/>
                <w:lang w:val="en-GB"/>
              </w:rPr>
              <w:t>SL codebook</w:t>
            </w:r>
          </w:p>
        </w:tc>
      </w:tr>
    </w:tbl>
    <w:p w14:paraId="24010C6F" w14:textId="14DD377A" w:rsidR="006D76A3" w:rsidRDefault="006D76A3" w:rsidP="006D76A3">
      <w:pPr>
        <w:spacing w:before="240" w:after="0"/>
        <w:rPr>
          <w:rFonts w:ascii="Arial" w:hAnsi="Arial" w:cs="Arial"/>
        </w:rPr>
      </w:pPr>
      <w:r>
        <w:rPr>
          <w:rFonts w:ascii="Arial" w:hAnsi="Arial" w:cs="Arial"/>
        </w:rPr>
        <w:t>The dynamic (Type-2) codebook is determined based on the monitoring occasions for DCI formats correctly received in a corresponding PDCCH monitoring occasion and that indicate transmission of HARQ acknowledgements in a given PUCCH slot (i.e., through PDSCH-to-HARQ_feedback timing and K</w:t>
      </w:r>
      <w:r>
        <w:rPr>
          <w:rFonts w:ascii="Arial" w:hAnsi="Arial" w:cs="Arial"/>
          <w:vertAlign w:val="subscript"/>
        </w:rPr>
        <w:t>0</w:t>
      </w:r>
      <w:r>
        <w:rPr>
          <w:rFonts w:ascii="Arial" w:hAnsi="Arial" w:cs="Arial"/>
        </w:rPr>
        <w:t xml:space="preserve"> values). In addition, at the end of the codebook, the HARQ acknowledgements for SPS PDSCH receptions are added. </w:t>
      </w:r>
    </w:p>
    <w:p w14:paraId="5746B16D" w14:textId="77777777" w:rsidR="006D76A3" w:rsidRDefault="006D76A3" w:rsidP="006D76A3">
      <w:pPr>
        <w:spacing w:before="240" w:after="0"/>
        <w:rPr>
          <w:rFonts w:ascii="Arial" w:hAnsi="Arial" w:cs="Arial"/>
        </w:rPr>
      </w:pPr>
      <w:r>
        <w:rPr>
          <w:rFonts w:ascii="Arial" w:hAnsi="Arial" w:cs="Arial"/>
        </w:rPr>
        <w:lastRenderedPageBreak/>
        <w:t>As agreed, the SL HARQ-ACK bits are generated using the Rel-15 procedures. To this end, the following changes are necessary to the procedure:</w:t>
      </w:r>
    </w:p>
    <w:p w14:paraId="4E1177CA" w14:textId="77777777" w:rsidR="006D76A3" w:rsidRDefault="006D76A3" w:rsidP="006D76A3">
      <w:pPr>
        <w:pStyle w:val="ListParagraph"/>
        <w:numPr>
          <w:ilvl w:val="0"/>
          <w:numId w:val="36"/>
        </w:numPr>
        <w:overflowPunct/>
        <w:autoSpaceDE/>
        <w:autoSpaceDN/>
        <w:adjustRightInd/>
        <w:spacing w:before="240" w:line="256" w:lineRule="auto"/>
        <w:textAlignment w:val="auto"/>
        <w:rPr>
          <w:rFonts w:ascii="Arial" w:hAnsi="Arial" w:cs="Arial"/>
          <w:sz w:val="20"/>
          <w:szCs w:val="20"/>
          <w:lang w:val="en-GB" w:eastAsia="ja-JP"/>
        </w:rPr>
      </w:pPr>
      <w:bookmarkStart w:id="27" w:name="_Hlk24146261"/>
      <w:r>
        <w:rPr>
          <w:rFonts w:ascii="Arial" w:hAnsi="Arial" w:cs="Arial"/>
          <w:sz w:val="20"/>
          <w:szCs w:val="20"/>
          <w:lang w:val="en-GB" w:eastAsia="ja-JP"/>
        </w:rPr>
        <w:t>Monitor occasions for PDCCH with the corresponding SL dynamic grant or PDCCH releasing SL configured grant type-1</w:t>
      </w:r>
      <w:bookmarkEnd w:id="27"/>
      <w:r>
        <w:rPr>
          <w:rFonts w:ascii="Arial" w:hAnsi="Arial" w:cs="Arial"/>
          <w:sz w:val="20"/>
          <w:szCs w:val="20"/>
          <w:lang w:val="en-GB" w:eastAsia="ja-JP"/>
        </w:rPr>
        <w:t>.</w:t>
      </w:r>
    </w:p>
    <w:p w14:paraId="0F2D6E61" w14:textId="6B2E592F" w:rsidR="006D76A3" w:rsidRDefault="006D76A3" w:rsidP="006D76A3">
      <w:pPr>
        <w:pStyle w:val="ListParagraph"/>
        <w:numPr>
          <w:ilvl w:val="0"/>
          <w:numId w:val="36"/>
        </w:numPr>
        <w:overflowPunct/>
        <w:autoSpaceDE/>
        <w:autoSpaceDN/>
        <w:adjustRightInd/>
        <w:spacing w:before="240" w:line="256" w:lineRule="auto"/>
        <w:textAlignment w:val="auto"/>
        <w:rPr>
          <w:rFonts w:ascii="Arial" w:hAnsi="Arial" w:cs="Arial"/>
          <w:sz w:val="20"/>
          <w:szCs w:val="20"/>
          <w:lang w:val="en-GB" w:eastAsia="ja-JP"/>
        </w:rPr>
      </w:pPr>
      <w:r>
        <w:rPr>
          <w:rFonts w:ascii="Arial" w:hAnsi="Arial" w:cs="Arial"/>
          <w:sz w:val="20"/>
          <w:szCs w:val="20"/>
          <w:lang w:val="en-GB" w:eastAsia="ja-JP"/>
        </w:rPr>
        <w:t>Timing is given by PSFCH-to-PUCCH gap signalled in DCI.</w:t>
      </w:r>
    </w:p>
    <w:p w14:paraId="5CF04B97" w14:textId="77777777" w:rsidR="006D76A3" w:rsidRDefault="006D76A3" w:rsidP="006D76A3">
      <w:pPr>
        <w:spacing w:before="240" w:after="0"/>
        <w:rPr>
          <w:rFonts w:ascii="Arial" w:hAnsi="Arial" w:cs="Arial"/>
        </w:rPr>
      </w:pPr>
      <w:r>
        <w:rPr>
          <w:rFonts w:ascii="Arial" w:hAnsi="Arial" w:cs="Arial"/>
        </w:rPr>
        <w:t>As for type-1, some simplifications to the procedure are possible. Again, it may also be reasonable to restrict SL scheduling to come from a single DL carrier.</w:t>
      </w:r>
    </w:p>
    <w:p w14:paraId="0990BD38" w14:textId="77777777" w:rsidR="006D76A3" w:rsidRDefault="006D76A3" w:rsidP="00E82B0C">
      <w:pPr>
        <w:pStyle w:val="Proposal"/>
        <w:overflowPunct/>
        <w:autoSpaceDE/>
        <w:autoSpaceDN/>
        <w:adjustRightInd/>
        <w:spacing w:before="240" w:line="256" w:lineRule="auto"/>
        <w:jc w:val="left"/>
        <w:textAlignment w:val="auto"/>
        <w:rPr>
          <w:rFonts w:cs="Arial"/>
          <w:szCs w:val="22"/>
          <w:lang w:eastAsia="ja-JP"/>
        </w:rPr>
      </w:pPr>
      <w:bookmarkStart w:id="28" w:name="_Toc24151935"/>
      <w:bookmarkStart w:id="29" w:name="_Toc32527143"/>
      <w:r>
        <w:rPr>
          <w:rFonts w:cs="Arial"/>
          <w:lang w:eastAsia="ja-JP"/>
        </w:rPr>
        <w:t>For Type-2 codebook:</w:t>
      </w:r>
      <w:bookmarkEnd w:id="28"/>
      <w:bookmarkEnd w:id="29"/>
    </w:p>
    <w:p w14:paraId="10B7CD43" w14:textId="659437BE" w:rsidR="006D76A3" w:rsidRDefault="006D76A3" w:rsidP="006D76A3">
      <w:pPr>
        <w:pStyle w:val="Proposal"/>
        <w:numPr>
          <w:ilvl w:val="0"/>
          <w:numId w:val="35"/>
        </w:numPr>
        <w:overflowPunct/>
        <w:autoSpaceDE/>
        <w:autoSpaceDN/>
        <w:adjustRightInd/>
        <w:spacing w:line="256" w:lineRule="auto"/>
        <w:jc w:val="left"/>
        <w:textAlignment w:val="auto"/>
        <w:rPr>
          <w:rFonts w:cs="Arial"/>
          <w:lang w:eastAsia="ja-JP"/>
        </w:rPr>
      </w:pPr>
      <w:bookmarkStart w:id="30" w:name="_Toc24151936"/>
      <w:bookmarkStart w:id="31" w:name="_Toc32527144"/>
      <w:r>
        <w:rPr>
          <w:rFonts w:cs="Arial"/>
          <w:lang w:eastAsia="ja-JP"/>
        </w:rPr>
        <w:t>UE monitors occasions for PDCCH carrying SL grant or PDCCH releasing SL configured grant type-1 with PUCCH in the same slot based on PSFCH-to-PUCCH gap signalled in DCI.</w:t>
      </w:r>
      <w:bookmarkEnd w:id="30"/>
      <w:bookmarkEnd w:id="31"/>
    </w:p>
    <w:p w14:paraId="764A347D" w14:textId="77777777" w:rsidR="006D76A3" w:rsidRDefault="006D76A3" w:rsidP="006D76A3">
      <w:pPr>
        <w:pStyle w:val="Proposal"/>
        <w:numPr>
          <w:ilvl w:val="0"/>
          <w:numId w:val="35"/>
        </w:numPr>
        <w:overflowPunct/>
        <w:autoSpaceDE/>
        <w:autoSpaceDN/>
        <w:adjustRightInd/>
        <w:spacing w:line="256" w:lineRule="auto"/>
        <w:jc w:val="left"/>
        <w:textAlignment w:val="auto"/>
        <w:rPr>
          <w:rFonts w:cs="Arial"/>
          <w:lang w:eastAsia="ja-JP"/>
        </w:rPr>
      </w:pPr>
      <w:bookmarkStart w:id="32" w:name="_Toc24151937"/>
      <w:bookmarkStart w:id="33" w:name="_Toc32527145"/>
      <w:r>
        <w:rPr>
          <w:rFonts w:cs="Arial"/>
          <w:lang w:eastAsia="ja-JP"/>
        </w:rPr>
        <w:t>For each PDCCH occasion at most one HARQ-ACK bit is reported.</w:t>
      </w:r>
      <w:bookmarkEnd w:id="32"/>
      <w:bookmarkEnd w:id="33"/>
    </w:p>
    <w:p w14:paraId="20FA1170" w14:textId="618B2F27" w:rsidR="006D76A3" w:rsidRDefault="006D76A3" w:rsidP="00E94550">
      <w:pPr>
        <w:rPr>
          <w:rFonts w:ascii="Arial" w:hAnsi="Arial" w:cs="Arial"/>
          <w:lang w:val="fi-FI"/>
        </w:rPr>
      </w:pPr>
      <w:bookmarkStart w:id="34" w:name="_Ref20828210"/>
      <w:r>
        <w:rPr>
          <w:rFonts w:ascii="Arial" w:hAnsi="Arial" w:cs="Arial"/>
        </w:rPr>
        <w:t xml:space="preserve">Table </w:t>
      </w:r>
      <w:r>
        <w:fldChar w:fldCharType="begin"/>
      </w:r>
      <w:r>
        <w:rPr>
          <w:rFonts w:ascii="Arial" w:hAnsi="Arial" w:cs="Arial"/>
        </w:rPr>
        <w:instrText xml:space="preserve"> SEQ Table \* ARABIC </w:instrText>
      </w:r>
      <w:r>
        <w:fldChar w:fldCharType="separate"/>
      </w:r>
      <w:r>
        <w:rPr>
          <w:rFonts w:ascii="Arial" w:hAnsi="Arial" w:cs="Arial"/>
          <w:noProof/>
        </w:rPr>
        <w:t>2</w:t>
      </w:r>
      <w:r>
        <w:fldChar w:fldCharType="end"/>
      </w:r>
      <w:bookmarkEnd w:id="34"/>
      <w:r>
        <w:rPr>
          <w:rFonts w:ascii="Arial" w:hAnsi="Arial" w:cs="Arial"/>
        </w:rPr>
        <w:t>. Dynamic (Type-2) codebook for conveying multiple SL and DL HARQ acknowledgements in UL.</w:t>
      </w:r>
    </w:p>
    <w:tbl>
      <w:tblPr>
        <w:tblStyle w:val="TableGrid"/>
        <w:tblW w:w="0" w:type="auto"/>
        <w:tblLook w:val="04A0" w:firstRow="1" w:lastRow="0" w:firstColumn="1" w:lastColumn="0" w:noHBand="0" w:noVBand="1"/>
      </w:tblPr>
      <w:tblGrid>
        <w:gridCol w:w="4814"/>
        <w:gridCol w:w="4815"/>
      </w:tblGrid>
      <w:tr w:rsidR="006D76A3" w14:paraId="0A657BC8" w14:textId="77777777" w:rsidTr="006D76A3">
        <w:tc>
          <w:tcPr>
            <w:tcW w:w="9629" w:type="dxa"/>
            <w:gridSpan w:val="2"/>
            <w:tcBorders>
              <w:top w:val="single" w:sz="4" w:space="0" w:color="auto"/>
              <w:left w:val="single" w:sz="4" w:space="0" w:color="auto"/>
              <w:bottom w:val="double" w:sz="12" w:space="0" w:color="auto"/>
              <w:right w:val="single" w:sz="4" w:space="0" w:color="auto"/>
            </w:tcBorders>
            <w:hideMark/>
          </w:tcPr>
          <w:p w14:paraId="347BBF45" w14:textId="77777777" w:rsidR="006D76A3" w:rsidRDefault="006D76A3">
            <w:pPr>
              <w:jc w:val="center"/>
              <w:rPr>
                <w:rFonts w:ascii="Arial" w:hAnsi="Arial" w:cs="Arial"/>
                <w:sz w:val="20"/>
                <w:szCs w:val="20"/>
                <w:lang w:eastAsia="en-GB"/>
              </w:rPr>
            </w:pPr>
            <w:r>
              <w:rPr>
                <w:rFonts w:ascii="Arial" w:hAnsi="Arial" w:cs="Arial"/>
                <w:color w:val="FF0000"/>
                <w:sz w:val="20"/>
                <w:szCs w:val="20"/>
                <w:lang w:val="en-GB"/>
              </w:rPr>
              <w:t>HARQ-ACK bits for SL</w:t>
            </w:r>
          </w:p>
        </w:tc>
      </w:tr>
      <w:tr w:rsidR="006D76A3" w14:paraId="07F17DEB" w14:textId="77777777" w:rsidTr="006D76A3">
        <w:tc>
          <w:tcPr>
            <w:tcW w:w="4814" w:type="dxa"/>
            <w:tcBorders>
              <w:top w:val="double" w:sz="12" w:space="0" w:color="auto"/>
              <w:left w:val="double" w:sz="12" w:space="0" w:color="auto"/>
              <w:bottom w:val="double" w:sz="12" w:space="0" w:color="auto"/>
              <w:right w:val="single" w:sz="4" w:space="0" w:color="auto"/>
            </w:tcBorders>
            <w:shd w:val="clear" w:color="auto" w:fill="BFBFBF" w:themeFill="background1" w:themeFillShade="BF"/>
            <w:hideMark/>
          </w:tcPr>
          <w:p w14:paraId="724A6698" w14:textId="77777777" w:rsidR="006D76A3" w:rsidRDefault="006D76A3">
            <w:pPr>
              <w:rPr>
                <w:rFonts w:ascii="Arial" w:hAnsi="Arial" w:cs="Arial"/>
                <w:sz w:val="20"/>
                <w:szCs w:val="20"/>
                <w:lang w:eastAsia="en-GB"/>
              </w:rPr>
            </w:pPr>
            <w:r>
              <w:rPr>
                <w:rFonts w:ascii="Arial" w:hAnsi="Arial" w:cs="Arial"/>
                <w:sz w:val="20"/>
                <w:szCs w:val="20"/>
                <w:lang w:val="en-GB"/>
              </w:rPr>
              <w:t>HARQ-ACK bits corresponding to received DCI scheduling SL transmission or releasing SL Type-2 configured grant</w:t>
            </w:r>
          </w:p>
        </w:tc>
        <w:tc>
          <w:tcPr>
            <w:tcW w:w="4815" w:type="dxa"/>
            <w:tcBorders>
              <w:top w:val="double" w:sz="12" w:space="0" w:color="auto"/>
              <w:left w:val="single" w:sz="4" w:space="0" w:color="auto"/>
              <w:bottom w:val="double" w:sz="12" w:space="0" w:color="auto"/>
              <w:right w:val="double" w:sz="12" w:space="0" w:color="auto"/>
            </w:tcBorders>
            <w:shd w:val="clear" w:color="auto" w:fill="BFBFBF" w:themeFill="background1" w:themeFillShade="BF"/>
            <w:hideMark/>
          </w:tcPr>
          <w:p w14:paraId="2B4EC53D" w14:textId="77777777" w:rsidR="006D76A3" w:rsidRDefault="006D76A3">
            <w:pPr>
              <w:rPr>
                <w:rFonts w:ascii="Arial" w:hAnsi="Arial" w:cs="Arial"/>
                <w:sz w:val="20"/>
                <w:szCs w:val="20"/>
                <w:lang w:eastAsia="en-GB"/>
              </w:rPr>
            </w:pPr>
            <w:r>
              <w:rPr>
                <w:rFonts w:ascii="Arial" w:hAnsi="Arial" w:cs="Arial"/>
                <w:sz w:val="20"/>
                <w:szCs w:val="20"/>
                <w:lang w:val="en-GB"/>
              </w:rPr>
              <w:t>HARQ-ACK bits corresponding to received DCI scheduling SL transmission or releasing SL Type-2 configured grant</w:t>
            </w:r>
          </w:p>
        </w:tc>
      </w:tr>
    </w:tbl>
    <w:p w14:paraId="3BFAEAF2" w14:textId="77777777" w:rsidR="006D76A3" w:rsidRPr="006D76A3" w:rsidRDefault="006D76A3" w:rsidP="006D76A3"/>
    <w:p w14:paraId="234B9CF4" w14:textId="53D806E8" w:rsidR="00C01F33" w:rsidRPr="00CE0424" w:rsidRDefault="00263764" w:rsidP="00CE0424">
      <w:pPr>
        <w:pStyle w:val="Heading1"/>
      </w:pPr>
      <w:r>
        <w:t>6</w:t>
      </w:r>
      <w:r>
        <w:tab/>
      </w:r>
      <w:r w:rsidR="00C01F33" w:rsidRPr="00CE0424">
        <w:t>Conclusion</w:t>
      </w:r>
    </w:p>
    <w:p w14:paraId="30F6A381"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F5571CA" w14:textId="5B4A4790" w:rsidR="00E82B0C" w:rsidRDefault="006E1C82">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2527127" w:history="1">
        <w:r w:rsidR="00E82B0C" w:rsidRPr="000E72F7">
          <w:rPr>
            <w:rStyle w:val="Hyperlink"/>
            <w:noProof/>
          </w:rPr>
          <w:t>Proposal 1</w:t>
        </w:r>
        <w:r w:rsidR="00E82B0C">
          <w:rPr>
            <w:rFonts w:asciiTheme="minorHAnsi" w:eastAsiaTheme="minorEastAsia" w:hAnsiTheme="minorHAnsi" w:cstheme="minorBidi"/>
            <w:b w:val="0"/>
            <w:noProof/>
            <w:sz w:val="22"/>
            <w:szCs w:val="22"/>
            <w:lang w:val="fi-FI" w:eastAsia="fi-FI"/>
          </w:rPr>
          <w:tab/>
        </w:r>
        <w:r w:rsidR="00E82B0C" w:rsidRPr="000E72F7">
          <w:rPr>
            <w:rStyle w:val="Hyperlink"/>
            <w:noProof/>
          </w:rPr>
          <w:t>The HARQ process ID used for sidelink transmission scheduled by a configured grant is provided by the gNB as part of the RRC configuration (for type-1) or in the DCI activating the grant (for type-2).</w:t>
        </w:r>
      </w:hyperlink>
    </w:p>
    <w:p w14:paraId="5BFAFFF0" w14:textId="130F3787" w:rsidR="00E82B0C" w:rsidRDefault="00E279B2">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32527128" w:history="1">
        <w:r w:rsidR="00E82B0C" w:rsidRPr="000E72F7">
          <w:rPr>
            <w:rStyle w:val="Hyperlink"/>
            <w:rFonts w:cs="Arial"/>
            <w:noProof/>
          </w:rPr>
          <w:t>Proposal 2</w:t>
        </w:r>
        <w:r w:rsidR="00E82B0C">
          <w:rPr>
            <w:rFonts w:asciiTheme="minorHAnsi" w:eastAsiaTheme="minorEastAsia" w:hAnsiTheme="minorHAnsi" w:cstheme="minorBidi"/>
            <w:b w:val="0"/>
            <w:noProof/>
            <w:sz w:val="22"/>
            <w:szCs w:val="22"/>
            <w:lang w:val="fi-FI" w:eastAsia="fi-FI"/>
          </w:rPr>
          <w:tab/>
        </w:r>
        <w:r w:rsidR="00E82B0C" w:rsidRPr="000E72F7">
          <w:rPr>
            <w:rStyle w:val="Hyperlink"/>
            <w:noProof/>
          </w:rPr>
          <w:t>For configured grant type-1 the slot corresponding to the first SL transmission is the first SL slot of the corresponding resource pool that starts no earlier than SFN</w:t>
        </w:r>
        <w:r w:rsidR="00E82B0C" w:rsidRPr="000E72F7">
          <w:rPr>
            <w:rStyle w:val="Hyperlink"/>
            <w:noProof/>
            <w:vertAlign w:val="subscript"/>
          </w:rPr>
          <w:t>0</w:t>
        </w:r>
        <w:r w:rsidR="00E82B0C" w:rsidRPr="000E72F7">
          <w:rPr>
            <w:rStyle w:val="Hyperlink"/>
            <w:noProof/>
          </w:rPr>
          <w:t xml:space="preserve"> + </w:t>
        </w:r>
        <w:r w:rsidR="00E82B0C" w:rsidRPr="000E72F7">
          <w:rPr>
            <w:rStyle w:val="Hyperlink"/>
            <w:i/>
            <w:iCs/>
            <w:noProof/>
          </w:rPr>
          <w:t xml:space="preserve">timeDomainOffset </w:t>
        </w:r>
        <w:r w:rsidR="00E82B0C" w:rsidRPr="000E72F7">
          <w:rPr>
            <w:rStyle w:val="Hyperlink"/>
            <w:noProof/>
          </w:rPr>
          <w:t>– T</w:t>
        </w:r>
        <w:r w:rsidR="00E82B0C" w:rsidRPr="000E72F7">
          <w:rPr>
            <w:rStyle w:val="Hyperlink"/>
            <w:noProof/>
            <w:vertAlign w:val="subscript"/>
          </w:rPr>
          <w:t>TA</w:t>
        </w:r>
        <w:r w:rsidR="00E82B0C" w:rsidRPr="000E72F7">
          <w:rPr>
            <w:rStyle w:val="Hyperlink"/>
            <w:noProof/>
          </w:rPr>
          <w:t>/2 x TC, where SFN</w:t>
        </w:r>
        <w:r w:rsidR="00E82B0C" w:rsidRPr="000E72F7">
          <w:rPr>
            <w:rStyle w:val="Hyperlink"/>
            <w:noProof/>
            <w:vertAlign w:val="subscript"/>
          </w:rPr>
          <w:t>0</w:t>
        </w:r>
        <w:r w:rsidR="00E82B0C" w:rsidRPr="000E72F7">
          <w:rPr>
            <w:rStyle w:val="Hyperlink"/>
            <w:noProof/>
          </w:rPr>
          <w:t xml:space="preserve"> corresponds to SFN=0 in the DL carrier, </w:t>
        </w:r>
        <w:r w:rsidR="00E82B0C" w:rsidRPr="000E72F7">
          <w:rPr>
            <w:rStyle w:val="Hyperlink"/>
            <w:rFonts w:cs="Arial"/>
            <w:noProof/>
            <w:lang w:val="en-US"/>
          </w:rPr>
          <w:t>T</w:t>
        </w:r>
        <w:r w:rsidR="00E82B0C" w:rsidRPr="000E72F7">
          <w:rPr>
            <w:rStyle w:val="Hyperlink"/>
            <w:rFonts w:cs="Arial"/>
            <w:noProof/>
            <w:vertAlign w:val="subscript"/>
          </w:rPr>
          <w:t>TA</w:t>
        </w:r>
        <w:r w:rsidR="00E82B0C" w:rsidRPr="000E72F7">
          <w:rPr>
            <w:rStyle w:val="Hyperlink"/>
            <w:rFonts w:cs="Arial"/>
            <w:noProof/>
          </w:rPr>
          <w:t xml:space="preserve"> is the timing advance value, and </w:t>
        </w:r>
        <w:r w:rsidR="00E82B0C" w:rsidRPr="000E72F7">
          <w:rPr>
            <w:rStyle w:val="Hyperlink"/>
            <w:rFonts w:cs="Arial"/>
            <w:noProof/>
            <w:lang w:val="en-US"/>
          </w:rPr>
          <w:t>T</w:t>
        </w:r>
        <w:r w:rsidR="00E82B0C" w:rsidRPr="000E72F7">
          <w:rPr>
            <w:rStyle w:val="Hyperlink"/>
            <w:rFonts w:cs="Arial"/>
            <w:noProof/>
            <w:vertAlign w:val="subscript"/>
            <w:lang w:val="en-US"/>
          </w:rPr>
          <w:t>c</w:t>
        </w:r>
        <w:r w:rsidR="00E82B0C" w:rsidRPr="000E72F7">
          <w:rPr>
            <w:rStyle w:val="Hyperlink"/>
            <w:rFonts w:cs="Arial"/>
            <w:noProof/>
            <w:lang w:val="en-US"/>
          </w:rPr>
          <w:t xml:space="preserve"> is as defined in 38.211.</w:t>
        </w:r>
      </w:hyperlink>
    </w:p>
    <w:p w14:paraId="473984CF" w14:textId="16E10F01" w:rsidR="00E82B0C" w:rsidRDefault="00E279B2">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32527129" w:history="1">
        <w:r w:rsidR="00E82B0C" w:rsidRPr="000E72F7">
          <w:rPr>
            <w:rStyle w:val="Hyperlink"/>
            <w:noProof/>
          </w:rPr>
          <w:t>Proposal 3</w:t>
        </w:r>
        <w:r w:rsidR="00E82B0C">
          <w:rPr>
            <w:rFonts w:asciiTheme="minorHAnsi" w:eastAsiaTheme="minorEastAsia" w:hAnsiTheme="minorHAnsi" w:cstheme="minorBidi"/>
            <w:b w:val="0"/>
            <w:noProof/>
            <w:sz w:val="22"/>
            <w:szCs w:val="22"/>
            <w:lang w:val="fi-FI" w:eastAsia="fi-FI"/>
          </w:rPr>
          <w:tab/>
        </w:r>
        <w:r w:rsidR="00E82B0C" w:rsidRPr="000E72F7">
          <w:rPr>
            <w:rStyle w:val="Hyperlink"/>
            <w:noProof/>
          </w:rPr>
          <w:t xml:space="preserve">Up to 8 values may be configured by higher layer for </w:t>
        </w:r>
        <w:r w:rsidR="00E82B0C" w:rsidRPr="000E72F7">
          <w:rPr>
            <w:rStyle w:val="Hyperlink"/>
            <w:i/>
            <w:iCs/>
            <w:noProof/>
          </w:rPr>
          <w:t>timeGapFirstSidelinkTransmission</w:t>
        </w:r>
        <w:r w:rsidR="00E82B0C" w:rsidRPr="000E72F7">
          <w:rPr>
            <w:rStyle w:val="Hyperlink"/>
            <w:noProof/>
          </w:rPr>
          <w:t>, which indicate the number of SL (logical) slots. The field time gap in DCI format 3_0 has variable bitwidth that depends on the number of configured values.</w:t>
        </w:r>
      </w:hyperlink>
    </w:p>
    <w:p w14:paraId="04A8E540" w14:textId="2B02F5AB" w:rsidR="00E82B0C" w:rsidRDefault="00E279B2">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32527130" w:history="1">
        <w:r w:rsidR="00E82B0C" w:rsidRPr="000E72F7">
          <w:rPr>
            <w:rStyle w:val="Hyperlink"/>
            <w:noProof/>
          </w:rPr>
          <w:t>Proposal 4</w:t>
        </w:r>
        <w:r w:rsidR="00E82B0C">
          <w:rPr>
            <w:rFonts w:asciiTheme="minorHAnsi" w:eastAsiaTheme="minorEastAsia" w:hAnsiTheme="minorHAnsi" w:cstheme="minorBidi"/>
            <w:b w:val="0"/>
            <w:noProof/>
            <w:sz w:val="22"/>
            <w:szCs w:val="22"/>
            <w:lang w:val="fi-FI" w:eastAsia="fi-FI"/>
          </w:rPr>
          <w:tab/>
        </w:r>
        <w:r w:rsidR="00E82B0C" w:rsidRPr="000E72F7">
          <w:rPr>
            <w:rStyle w:val="Hyperlink"/>
            <w:noProof/>
          </w:rPr>
          <w:t>16 SL HARQ processes are defined. The field HARQ process ID in DCI format 3_0 consists of 4 bits.</w:t>
        </w:r>
      </w:hyperlink>
    </w:p>
    <w:p w14:paraId="5E6F78E0" w14:textId="6D7D3F3A" w:rsidR="00E82B0C" w:rsidRDefault="00E279B2">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32527131" w:history="1">
        <w:r w:rsidR="00E82B0C" w:rsidRPr="000E72F7">
          <w:rPr>
            <w:rStyle w:val="Hyperlink"/>
            <w:noProof/>
          </w:rPr>
          <w:t>Proposal 5</w:t>
        </w:r>
        <w:r w:rsidR="00E82B0C">
          <w:rPr>
            <w:rFonts w:asciiTheme="minorHAnsi" w:eastAsiaTheme="minorEastAsia" w:hAnsiTheme="minorHAnsi" w:cstheme="minorBidi"/>
            <w:b w:val="0"/>
            <w:noProof/>
            <w:sz w:val="22"/>
            <w:szCs w:val="22"/>
            <w:lang w:val="fi-FI" w:eastAsia="fi-FI"/>
          </w:rPr>
          <w:tab/>
        </w:r>
        <w:r w:rsidR="00E82B0C" w:rsidRPr="000E72F7">
          <w:rPr>
            <w:rStyle w:val="Hyperlink"/>
            <w:noProof/>
          </w:rPr>
          <w:t>The field ‘Configuration index’ consists of 3 bits, when applicable.</w:t>
        </w:r>
      </w:hyperlink>
    </w:p>
    <w:p w14:paraId="757D2527" w14:textId="17213552" w:rsidR="00E82B0C" w:rsidRDefault="00E279B2">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32527132" w:history="1">
        <w:r w:rsidR="00E82B0C" w:rsidRPr="000E72F7">
          <w:rPr>
            <w:rStyle w:val="Hyperlink"/>
            <w:noProof/>
          </w:rPr>
          <w:t>Proposal 6</w:t>
        </w:r>
        <w:r w:rsidR="00E82B0C">
          <w:rPr>
            <w:rFonts w:asciiTheme="minorHAnsi" w:eastAsiaTheme="minorEastAsia" w:hAnsiTheme="minorHAnsi" w:cstheme="minorBidi"/>
            <w:b w:val="0"/>
            <w:noProof/>
            <w:sz w:val="22"/>
            <w:szCs w:val="22"/>
            <w:lang w:val="fi-FI" w:eastAsia="fi-FI"/>
          </w:rPr>
          <w:tab/>
        </w:r>
        <w:r w:rsidR="00E82B0C" w:rsidRPr="000E72F7">
          <w:rPr>
            <w:rStyle w:val="Hyperlink"/>
            <w:noProof/>
          </w:rPr>
          <w:t>When both DCI 0_1 and DCI 3_0 are configured, DCI 3_0 is zero-padded to match the size of DCI 0_1.</w:t>
        </w:r>
      </w:hyperlink>
    </w:p>
    <w:p w14:paraId="5D074C11" w14:textId="63FA6532" w:rsidR="00E82B0C" w:rsidRDefault="00E279B2">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32527133" w:history="1">
        <w:r w:rsidR="00E82B0C" w:rsidRPr="000E72F7">
          <w:rPr>
            <w:rStyle w:val="Hyperlink"/>
            <w:noProof/>
          </w:rPr>
          <w:t>Proposal 7</w:t>
        </w:r>
        <w:r w:rsidR="00E82B0C">
          <w:rPr>
            <w:rFonts w:asciiTheme="minorHAnsi" w:eastAsiaTheme="minorEastAsia" w:hAnsiTheme="minorHAnsi" w:cstheme="minorBidi"/>
            <w:b w:val="0"/>
            <w:noProof/>
            <w:sz w:val="22"/>
            <w:szCs w:val="22"/>
            <w:lang w:val="fi-FI" w:eastAsia="fi-FI"/>
          </w:rPr>
          <w:tab/>
        </w:r>
        <w:r w:rsidR="00E82B0C" w:rsidRPr="000E72F7">
          <w:rPr>
            <w:rStyle w:val="Hyperlink"/>
            <w:noProof/>
          </w:rPr>
          <w:t>When both DCI 3_0 with CRC scrambled with SL-RNTI and DCI 3_0 with CRC scrambled with SL-CS-RNTI are configured, DCI 3_0 with CRC scrambled with SL-RNTI is zero-padded to match the size of DCI 3_0 with CRC scrambled with SL-CS-RNTI.</w:t>
        </w:r>
      </w:hyperlink>
    </w:p>
    <w:p w14:paraId="7BFE0E99" w14:textId="321D89D3" w:rsidR="00E82B0C" w:rsidRDefault="00E279B2">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32527134" w:history="1">
        <w:r w:rsidR="00E82B0C" w:rsidRPr="000E72F7">
          <w:rPr>
            <w:rStyle w:val="Hyperlink"/>
            <w:rFonts w:cs="Arial"/>
            <w:noProof/>
          </w:rPr>
          <w:t>Proposal 8</w:t>
        </w:r>
        <w:r w:rsidR="00E82B0C">
          <w:rPr>
            <w:rFonts w:asciiTheme="minorHAnsi" w:eastAsiaTheme="minorEastAsia" w:hAnsiTheme="minorHAnsi" w:cstheme="minorBidi"/>
            <w:b w:val="0"/>
            <w:noProof/>
            <w:sz w:val="22"/>
            <w:szCs w:val="22"/>
            <w:lang w:val="fi-FI" w:eastAsia="fi-FI"/>
          </w:rPr>
          <w:tab/>
        </w:r>
        <w:r w:rsidR="00E82B0C" w:rsidRPr="000E72F7">
          <w:rPr>
            <w:rStyle w:val="Hyperlink"/>
            <w:noProof/>
          </w:rPr>
          <w:t>For a configured grant type-1 configured over LTE Uu, the slot corresponding to the first SL transmission is the first SL slot of the corresponding resource pool that starts no earlier than SFN</w:t>
        </w:r>
        <w:r w:rsidR="00E82B0C" w:rsidRPr="000E72F7">
          <w:rPr>
            <w:rStyle w:val="Hyperlink"/>
            <w:noProof/>
            <w:vertAlign w:val="subscript"/>
          </w:rPr>
          <w:t>0</w:t>
        </w:r>
        <w:r w:rsidR="00E82B0C" w:rsidRPr="000E72F7">
          <w:rPr>
            <w:rStyle w:val="Hyperlink"/>
            <w:noProof/>
          </w:rPr>
          <w:t xml:space="preserve"> + </w:t>
        </w:r>
        <w:r w:rsidR="00E82B0C" w:rsidRPr="000E72F7">
          <w:rPr>
            <w:rStyle w:val="Hyperlink"/>
            <w:i/>
            <w:iCs/>
            <w:noProof/>
          </w:rPr>
          <w:t xml:space="preserve">timeDomainOffset </w:t>
        </w:r>
        <w:r w:rsidR="00E82B0C" w:rsidRPr="000E72F7">
          <w:rPr>
            <w:rStyle w:val="Hyperlink"/>
            <w:noProof/>
          </w:rPr>
          <w:t>– T</w:t>
        </w:r>
        <w:r w:rsidR="00E82B0C" w:rsidRPr="000E72F7">
          <w:rPr>
            <w:rStyle w:val="Hyperlink"/>
            <w:noProof/>
            <w:vertAlign w:val="subscript"/>
          </w:rPr>
          <w:t>TA</w:t>
        </w:r>
        <w:r w:rsidR="00E82B0C" w:rsidRPr="000E72F7">
          <w:rPr>
            <w:rStyle w:val="Hyperlink"/>
            <w:noProof/>
          </w:rPr>
          <w:t>/2 x TC, where SFN</w:t>
        </w:r>
        <w:r w:rsidR="00E82B0C" w:rsidRPr="000E72F7">
          <w:rPr>
            <w:rStyle w:val="Hyperlink"/>
            <w:noProof/>
            <w:vertAlign w:val="subscript"/>
          </w:rPr>
          <w:t>0</w:t>
        </w:r>
        <w:r w:rsidR="00E82B0C" w:rsidRPr="000E72F7">
          <w:rPr>
            <w:rStyle w:val="Hyperlink"/>
            <w:noProof/>
          </w:rPr>
          <w:t xml:space="preserve"> </w:t>
        </w:r>
        <w:r w:rsidR="00E82B0C" w:rsidRPr="000E72F7">
          <w:rPr>
            <w:rStyle w:val="Hyperlink"/>
            <w:noProof/>
          </w:rPr>
          <w:lastRenderedPageBreak/>
          <w:t xml:space="preserve">corresponds to SFN=0 in the DL carrier, </w:t>
        </w:r>
        <w:r w:rsidR="00E82B0C" w:rsidRPr="000E72F7">
          <w:rPr>
            <w:rStyle w:val="Hyperlink"/>
            <w:rFonts w:cs="Arial"/>
            <w:noProof/>
            <w:lang w:val="en-US"/>
          </w:rPr>
          <w:t>T</w:t>
        </w:r>
        <w:r w:rsidR="00E82B0C" w:rsidRPr="000E72F7">
          <w:rPr>
            <w:rStyle w:val="Hyperlink"/>
            <w:rFonts w:cs="Arial"/>
            <w:noProof/>
            <w:vertAlign w:val="subscript"/>
          </w:rPr>
          <w:t>TA</w:t>
        </w:r>
        <w:r w:rsidR="00E82B0C" w:rsidRPr="000E72F7">
          <w:rPr>
            <w:rStyle w:val="Hyperlink"/>
            <w:rFonts w:cs="Arial"/>
            <w:noProof/>
          </w:rPr>
          <w:t xml:space="preserve"> is the timing advance value, and </w:t>
        </w:r>
        <w:r w:rsidR="00E82B0C" w:rsidRPr="000E72F7">
          <w:rPr>
            <w:rStyle w:val="Hyperlink"/>
            <w:rFonts w:cs="Arial"/>
            <w:noProof/>
            <w:lang w:val="en-US"/>
          </w:rPr>
          <w:t>T</w:t>
        </w:r>
        <w:r w:rsidR="00E82B0C" w:rsidRPr="000E72F7">
          <w:rPr>
            <w:rStyle w:val="Hyperlink"/>
            <w:rFonts w:cs="Arial"/>
            <w:noProof/>
            <w:vertAlign w:val="subscript"/>
            <w:lang w:val="en-US"/>
          </w:rPr>
          <w:t>c</w:t>
        </w:r>
        <w:r w:rsidR="00E82B0C" w:rsidRPr="000E72F7">
          <w:rPr>
            <w:rStyle w:val="Hyperlink"/>
            <w:rFonts w:cs="Arial"/>
            <w:noProof/>
            <w:lang w:val="en-US"/>
          </w:rPr>
          <w:t xml:space="preserve"> is as defined in 38.211.</w:t>
        </w:r>
      </w:hyperlink>
    </w:p>
    <w:p w14:paraId="5C830F66" w14:textId="6F4240EA" w:rsidR="00E82B0C" w:rsidRDefault="00E279B2">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32527135" w:history="1">
        <w:r w:rsidR="00E82B0C" w:rsidRPr="000E72F7">
          <w:rPr>
            <w:rStyle w:val="Hyperlink"/>
            <w:rFonts w:cs="Arial"/>
            <w:noProof/>
          </w:rPr>
          <w:t>Proposal 9</w:t>
        </w:r>
        <w:r w:rsidR="00E82B0C">
          <w:rPr>
            <w:rFonts w:asciiTheme="minorHAnsi" w:eastAsiaTheme="minorEastAsia" w:hAnsiTheme="minorHAnsi" w:cstheme="minorBidi"/>
            <w:b w:val="0"/>
            <w:noProof/>
            <w:sz w:val="22"/>
            <w:szCs w:val="22"/>
            <w:lang w:val="fi-FI" w:eastAsia="fi-FI"/>
          </w:rPr>
          <w:tab/>
        </w:r>
        <w:r w:rsidR="00E82B0C" w:rsidRPr="000E72F7">
          <w:rPr>
            <w:rStyle w:val="Hyperlink"/>
            <w:rFonts w:cs="Arial"/>
            <w:noProof/>
          </w:rPr>
          <w:t>If prioritization rules in the UE result in dropping a PSCCH/PSSCH transmission or not being able to receive a PSFCH, the TX UE reports NACK to the gNB.</w:t>
        </w:r>
      </w:hyperlink>
    </w:p>
    <w:p w14:paraId="2AF293CC" w14:textId="1E3385F5" w:rsidR="00E82B0C" w:rsidRDefault="00E279B2">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32527136" w:history="1">
        <w:r w:rsidR="00E82B0C" w:rsidRPr="000E72F7">
          <w:rPr>
            <w:rStyle w:val="Hyperlink"/>
            <w:noProof/>
          </w:rPr>
          <w:t>Proposal 10</w:t>
        </w:r>
        <w:r w:rsidR="00E82B0C">
          <w:rPr>
            <w:rFonts w:asciiTheme="minorHAnsi" w:eastAsiaTheme="minorEastAsia" w:hAnsiTheme="minorHAnsi" w:cstheme="minorBidi"/>
            <w:b w:val="0"/>
            <w:noProof/>
            <w:sz w:val="22"/>
            <w:szCs w:val="22"/>
            <w:lang w:val="fi-FI" w:eastAsia="fi-FI"/>
          </w:rPr>
          <w:tab/>
        </w:r>
        <w:r w:rsidR="00E82B0C" w:rsidRPr="000E72F7">
          <w:rPr>
            <w:rStyle w:val="Hyperlink"/>
            <w:noProof/>
          </w:rPr>
          <w:t>In groupcast option 2, when SL HARQ-ACK reporting to the gNB is used the TX UE reports NACK to the gNB if does not detect some expected PSFCH.</w:t>
        </w:r>
      </w:hyperlink>
    </w:p>
    <w:p w14:paraId="371CC77C" w14:textId="507B20ED" w:rsidR="00E82B0C" w:rsidRDefault="00E279B2">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32527137" w:history="1">
        <w:r w:rsidR="00E82B0C" w:rsidRPr="000E72F7">
          <w:rPr>
            <w:rStyle w:val="Hyperlink"/>
            <w:rFonts w:cs="Arial"/>
            <w:noProof/>
          </w:rPr>
          <w:t>Proposal 11</w:t>
        </w:r>
        <w:r w:rsidR="00E82B0C">
          <w:rPr>
            <w:rFonts w:asciiTheme="minorHAnsi" w:eastAsiaTheme="minorEastAsia" w:hAnsiTheme="minorHAnsi" w:cstheme="minorBidi"/>
            <w:b w:val="0"/>
            <w:noProof/>
            <w:sz w:val="22"/>
            <w:szCs w:val="22"/>
            <w:lang w:val="fi-FI" w:eastAsia="fi-FI"/>
          </w:rPr>
          <w:tab/>
        </w:r>
        <w:r w:rsidR="00E82B0C" w:rsidRPr="000E72F7">
          <w:rPr>
            <w:rStyle w:val="Hyperlink"/>
            <w:rFonts w:cs="Arial"/>
            <w:noProof/>
          </w:rPr>
          <w:t>For groupcast option 2, when generating the HARQ-ACK report for the transmissions corresponding to a grant, the TX UE uses the most recent PSFCH occasion associated with the transmissions.</w:t>
        </w:r>
      </w:hyperlink>
    </w:p>
    <w:p w14:paraId="661DB9BC" w14:textId="234C75CC" w:rsidR="00E82B0C" w:rsidRDefault="00E279B2">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32527138" w:history="1">
        <w:r w:rsidR="00E82B0C" w:rsidRPr="000E72F7">
          <w:rPr>
            <w:rStyle w:val="Hyperlink"/>
            <w:rFonts w:cs="Arial"/>
            <w:noProof/>
          </w:rPr>
          <w:t>Proposal 12</w:t>
        </w:r>
        <w:r w:rsidR="00E82B0C">
          <w:rPr>
            <w:rFonts w:asciiTheme="minorHAnsi" w:eastAsiaTheme="minorEastAsia" w:hAnsiTheme="minorHAnsi" w:cstheme="minorBidi"/>
            <w:b w:val="0"/>
            <w:noProof/>
            <w:sz w:val="22"/>
            <w:szCs w:val="22"/>
            <w:lang w:val="fi-FI" w:eastAsia="fi-FI"/>
          </w:rPr>
          <w:tab/>
        </w:r>
        <w:r w:rsidR="00E82B0C" w:rsidRPr="000E72F7">
          <w:rPr>
            <w:rStyle w:val="Hyperlink"/>
            <w:rFonts w:cs="Arial"/>
            <w:noProof/>
          </w:rPr>
          <w:t>For unicast groupcast option 2, the TX UE reports ACK to the gNB if no PSCCH/PSSCH is transmitted in a set of resources for configured grant.</w:t>
        </w:r>
      </w:hyperlink>
    </w:p>
    <w:p w14:paraId="1D6B4B66" w14:textId="5E67AD49" w:rsidR="00E82B0C" w:rsidRDefault="00E279B2">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32527139" w:history="1">
        <w:r w:rsidR="00E82B0C" w:rsidRPr="000E72F7">
          <w:rPr>
            <w:rStyle w:val="Hyperlink"/>
            <w:rFonts w:cs="Arial"/>
            <w:noProof/>
          </w:rPr>
          <w:t>Proposal 13</w:t>
        </w:r>
        <w:r w:rsidR="00E82B0C">
          <w:rPr>
            <w:rFonts w:asciiTheme="minorHAnsi" w:eastAsiaTheme="minorEastAsia" w:hAnsiTheme="minorHAnsi" w:cstheme="minorBidi"/>
            <w:b w:val="0"/>
            <w:noProof/>
            <w:sz w:val="22"/>
            <w:szCs w:val="22"/>
            <w:lang w:val="fi-FI" w:eastAsia="fi-FI"/>
          </w:rPr>
          <w:tab/>
        </w:r>
        <w:r w:rsidR="00E82B0C" w:rsidRPr="000E72F7">
          <w:rPr>
            <w:rStyle w:val="Hyperlink"/>
            <w:rFonts w:cs="Arial"/>
            <w:noProof/>
          </w:rPr>
          <w:t>If SL HARQ-ACK reporting to the gNB is enabled but SL HARQ feedback is not used, the UE reports ACK.</w:t>
        </w:r>
      </w:hyperlink>
    </w:p>
    <w:p w14:paraId="38384353" w14:textId="3BF402E4" w:rsidR="00E82B0C" w:rsidRDefault="00E279B2">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32527140" w:history="1">
        <w:r w:rsidR="00E82B0C" w:rsidRPr="000E72F7">
          <w:rPr>
            <w:rStyle w:val="Hyperlink"/>
            <w:noProof/>
          </w:rPr>
          <w:t>Proposal 14</w:t>
        </w:r>
        <w:r w:rsidR="00E82B0C">
          <w:rPr>
            <w:rFonts w:asciiTheme="minorHAnsi" w:eastAsiaTheme="minorEastAsia" w:hAnsiTheme="minorHAnsi" w:cstheme="minorBidi"/>
            <w:b w:val="0"/>
            <w:noProof/>
            <w:sz w:val="22"/>
            <w:szCs w:val="22"/>
            <w:lang w:val="fi-FI" w:eastAsia="fi-FI"/>
          </w:rPr>
          <w:tab/>
        </w:r>
        <w:r w:rsidR="00E82B0C" w:rsidRPr="000E72F7">
          <w:rPr>
            <w:rStyle w:val="Hyperlink"/>
            <w:noProof/>
          </w:rPr>
          <w:t>For Type-1 codebook:</w:t>
        </w:r>
      </w:hyperlink>
    </w:p>
    <w:p w14:paraId="617B94A0" w14:textId="2A9DA669" w:rsidR="00E82B0C" w:rsidRDefault="00E279B2" w:rsidP="00E82B0C">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32527141" w:history="1">
        <w:r w:rsidR="00E82B0C" w:rsidRPr="000E72F7">
          <w:rPr>
            <w:rStyle w:val="Hyperlink"/>
            <w:rFonts w:ascii="Symbol" w:hAnsi="Symbol" w:cs="Arial"/>
            <w:noProof/>
            <w:lang w:eastAsia="ja-JP"/>
          </w:rPr>
          <w:t></w:t>
        </w:r>
        <w:r w:rsidR="00E82B0C">
          <w:rPr>
            <w:rFonts w:asciiTheme="minorHAnsi" w:eastAsiaTheme="minorEastAsia" w:hAnsiTheme="minorHAnsi" w:cstheme="minorBidi"/>
            <w:b w:val="0"/>
            <w:noProof/>
            <w:sz w:val="22"/>
            <w:szCs w:val="22"/>
            <w:lang w:val="fi-FI" w:eastAsia="fi-FI"/>
          </w:rPr>
          <w:tab/>
        </w:r>
        <w:r w:rsidR="00E82B0C" w:rsidRPr="000E72F7">
          <w:rPr>
            <w:rStyle w:val="Hyperlink"/>
            <w:rFonts w:cs="Arial"/>
            <w:noProof/>
            <w:lang w:eastAsia="ja-JP"/>
          </w:rPr>
          <w:t>UE determines occasions for candidate PDCCH receptions carrying SL grant or PDCCH releasing SPS configured grant type-1 with PUCCH in the same slot based on PDCCH-to-PUCCH configured values.</w:t>
        </w:r>
      </w:hyperlink>
    </w:p>
    <w:p w14:paraId="5D01B748" w14:textId="61032607" w:rsidR="00E82B0C" w:rsidRDefault="00E279B2" w:rsidP="00E82B0C">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32527142" w:history="1">
        <w:r w:rsidR="00E82B0C" w:rsidRPr="000E72F7">
          <w:rPr>
            <w:rStyle w:val="Hyperlink"/>
            <w:rFonts w:ascii="Symbol" w:hAnsi="Symbol" w:cs="Arial"/>
            <w:noProof/>
            <w:lang w:eastAsia="ja-JP"/>
          </w:rPr>
          <w:t></w:t>
        </w:r>
        <w:r w:rsidR="00E82B0C">
          <w:rPr>
            <w:rFonts w:asciiTheme="minorHAnsi" w:eastAsiaTheme="minorEastAsia" w:hAnsiTheme="minorHAnsi" w:cstheme="minorBidi"/>
            <w:b w:val="0"/>
            <w:noProof/>
            <w:sz w:val="22"/>
            <w:szCs w:val="22"/>
            <w:lang w:val="fi-FI" w:eastAsia="fi-FI"/>
          </w:rPr>
          <w:tab/>
        </w:r>
        <w:r w:rsidR="00E82B0C" w:rsidRPr="000E72F7">
          <w:rPr>
            <w:rStyle w:val="Hyperlink"/>
            <w:rFonts w:cs="Arial"/>
            <w:noProof/>
            <w:lang w:eastAsia="ja-JP"/>
          </w:rPr>
          <w:t>For each candidate, one HARQ-ACK bit is reported.</w:t>
        </w:r>
      </w:hyperlink>
    </w:p>
    <w:p w14:paraId="25E13A59" w14:textId="57DE64C1" w:rsidR="00E82B0C" w:rsidRDefault="00E279B2">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32527143" w:history="1">
        <w:r w:rsidR="00E82B0C" w:rsidRPr="000E72F7">
          <w:rPr>
            <w:rStyle w:val="Hyperlink"/>
            <w:rFonts w:cs="Arial"/>
            <w:noProof/>
            <w:lang w:eastAsia="ja-JP"/>
          </w:rPr>
          <w:t>Proposal 15</w:t>
        </w:r>
        <w:r w:rsidR="00E82B0C">
          <w:rPr>
            <w:rFonts w:asciiTheme="minorHAnsi" w:eastAsiaTheme="minorEastAsia" w:hAnsiTheme="minorHAnsi" w:cstheme="minorBidi"/>
            <w:b w:val="0"/>
            <w:noProof/>
            <w:sz w:val="22"/>
            <w:szCs w:val="22"/>
            <w:lang w:val="fi-FI" w:eastAsia="fi-FI"/>
          </w:rPr>
          <w:tab/>
        </w:r>
        <w:r w:rsidR="00E82B0C" w:rsidRPr="000E72F7">
          <w:rPr>
            <w:rStyle w:val="Hyperlink"/>
            <w:rFonts w:cs="Arial"/>
            <w:noProof/>
            <w:lang w:eastAsia="ja-JP"/>
          </w:rPr>
          <w:t>For Type-2 codebook:</w:t>
        </w:r>
      </w:hyperlink>
    </w:p>
    <w:p w14:paraId="4C881F1B" w14:textId="79429252" w:rsidR="00E82B0C" w:rsidRDefault="00E279B2" w:rsidP="00E82B0C">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32527144" w:history="1">
        <w:r w:rsidR="00E82B0C" w:rsidRPr="000E72F7">
          <w:rPr>
            <w:rStyle w:val="Hyperlink"/>
            <w:rFonts w:ascii="Symbol" w:hAnsi="Symbol" w:cs="Arial"/>
            <w:noProof/>
            <w:lang w:eastAsia="ja-JP"/>
          </w:rPr>
          <w:t></w:t>
        </w:r>
        <w:r w:rsidR="00E82B0C">
          <w:rPr>
            <w:rFonts w:asciiTheme="minorHAnsi" w:eastAsiaTheme="minorEastAsia" w:hAnsiTheme="minorHAnsi" w:cstheme="minorBidi"/>
            <w:b w:val="0"/>
            <w:noProof/>
            <w:sz w:val="22"/>
            <w:szCs w:val="22"/>
            <w:lang w:val="fi-FI" w:eastAsia="fi-FI"/>
          </w:rPr>
          <w:tab/>
        </w:r>
        <w:r w:rsidR="00E82B0C" w:rsidRPr="000E72F7">
          <w:rPr>
            <w:rStyle w:val="Hyperlink"/>
            <w:rFonts w:cs="Arial"/>
            <w:noProof/>
            <w:lang w:eastAsia="ja-JP"/>
          </w:rPr>
          <w:t>UE monitors occasions for PDCCH carrying SL grant or PDCCH releasing SL configured grant type-1 with PUCCH in the same slot based on PSFCH-to-PUCCH gap signalled in DCI.</w:t>
        </w:r>
      </w:hyperlink>
    </w:p>
    <w:p w14:paraId="1D1E202F" w14:textId="7ECDF76E" w:rsidR="00E82B0C" w:rsidRDefault="00E279B2" w:rsidP="00E82B0C">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32527145" w:history="1">
        <w:r w:rsidR="00E82B0C" w:rsidRPr="000E72F7">
          <w:rPr>
            <w:rStyle w:val="Hyperlink"/>
            <w:rFonts w:ascii="Symbol" w:hAnsi="Symbol" w:cs="Arial"/>
            <w:noProof/>
            <w:lang w:eastAsia="ja-JP"/>
          </w:rPr>
          <w:t></w:t>
        </w:r>
        <w:r w:rsidR="00E82B0C">
          <w:rPr>
            <w:rFonts w:asciiTheme="minorHAnsi" w:eastAsiaTheme="minorEastAsia" w:hAnsiTheme="minorHAnsi" w:cstheme="minorBidi"/>
            <w:b w:val="0"/>
            <w:noProof/>
            <w:sz w:val="22"/>
            <w:szCs w:val="22"/>
            <w:lang w:val="fi-FI" w:eastAsia="fi-FI"/>
          </w:rPr>
          <w:tab/>
        </w:r>
        <w:r w:rsidR="00E82B0C" w:rsidRPr="000E72F7">
          <w:rPr>
            <w:rStyle w:val="Hyperlink"/>
            <w:rFonts w:cs="Arial"/>
            <w:noProof/>
            <w:lang w:eastAsia="ja-JP"/>
          </w:rPr>
          <w:t>For each PDCCH occasion at most one HARQ-ACK bit is reported.</w:t>
        </w:r>
      </w:hyperlink>
    </w:p>
    <w:p w14:paraId="626A1365" w14:textId="1541909C" w:rsidR="006E1C82" w:rsidRPr="00CE0424" w:rsidRDefault="006E1C82" w:rsidP="006E1C82">
      <w:pPr>
        <w:pStyle w:val="BodyText"/>
        <w:rPr>
          <w:b/>
          <w:bCs/>
        </w:rPr>
      </w:pPr>
      <w:r>
        <w:rPr>
          <w:b/>
          <w:bCs/>
          <w:lang w:val="en-US"/>
        </w:rPr>
        <w:fldChar w:fldCharType="end"/>
      </w:r>
      <w:r w:rsidRPr="00CE0424">
        <w:rPr>
          <w:b/>
          <w:bCs/>
        </w:rPr>
        <w:t xml:space="preserve"> </w:t>
      </w:r>
    </w:p>
    <w:p w14:paraId="5C688276" w14:textId="77777777" w:rsidR="003A7EF3" w:rsidRPr="00CE0424" w:rsidRDefault="003A7EF3" w:rsidP="00CE0424">
      <w:pPr>
        <w:pStyle w:val="BodyText"/>
      </w:pPr>
      <w:bookmarkStart w:id="35" w:name="_In-sequence_SDU_delivery"/>
      <w:bookmarkEnd w:id="35"/>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90663" w14:textId="77777777" w:rsidR="00E279B2" w:rsidRDefault="00E279B2">
      <w:r>
        <w:separator/>
      </w:r>
    </w:p>
  </w:endnote>
  <w:endnote w:type="continuationSeparator" w:id="0">
    <w:p w14:paraId="2FE7C7D9" w14:textId="77777777" w:rsidR="00E279B2" w:rsidRDefault="00E279B2">
      <w:r>
        <w:continuationSeparator/>
      </w:r>
    </w:p>
  </w:endnote>
  <w:endnote w:type="continuationNotice" w:id="1">
    <w:p w14:paraId="68FACE7C" w14:textId="77777777" w:rsidR="00E279B2" w:rsidRDefault="00E279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04EBC" w14:textId="77777777" w:rsidR="00B46EC1" w:rsidRDefault="00B46EC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FCF9F" w14:textId="77777777" w:rsidR="00E279B2" w:rsidRDefault="00E279B2">
      <w:r>
        <w:separator/>
      </w:r>
    </w:p>
  </w:footnote>
  <w:footnote w:type="continuationSeparator" w:id="0">
    <w:p w14:paraId="00C67CC2" w14:textId="77777777" w:rsidR="00E279B2" w:rsidRDefault="00E279B2">
      <w:r>
        <w:continuationSeparator/>
      </w:r>
    </w:p>
  </w:footnote>
  <w:footnote w:type="continuationNotice" w:id="1">
    <w:p w14:paraId="539B0ADC" w14:textId="77777777" w:rsidR="00E279B2" w:rsidRDefault="00E279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64860" w14:textId="77777777" w:rsidR="00B46EC1" w:rsidRDefault="00B46EC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447A08"/>
    <w:multiLevelType w:val="hybridMultilevel"/>
    <w:tmpl w:val="BB88C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AA46647"/>
    <w:multiLevelType w:val="hybridMultilevel"/>
    <w:tmpl w:val="F1C494D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6E0B57"/>
    <w:multiLevelType w:val="hybridMultilevel"/>
    <w:tmpl w:val="8612F070"/>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start w:val="1"/>
      <w:numFmt w:val="bullet"/>
      <w:lvlText w:val=""/>
      <w:lvlJc w:val="left"/>
      <w:pPr>
        <w:ind w:left="3464" w:hanging="360"/>
      </w:pPr>
      <w:rPr>
        <w:rFonts w:ascii="Wingdings" w:hAnsi="Wingdings" w:hint="default"/>
      </w:rPr>
    </w:lvl>
    <w:lvl w:ilvl="3" w:tplc="040B0001">
      <w:start w:val="1"/>
      <w:numFmt w:val="bullet"/>
      <w:lvlText w:val=""/>
      <w:lvlJc w:val="left"/>
      <w:pPr>
        <w:ind w:left="4184" w:hanging="360"/>
      </w:pPr>
      <w:rPr>
        <w:rFonts w:ascii="Symbol" w:hAnsi="Symbol" w:hint="default"/>
      </w:rPr>
    </w:lvl>
    <w:lvl w:ilvl="4" w:tplc="040B0003">
      <w:start w:val="1"/>
      <w:numFmt w:val="bullet"/>
      <w:lvlText w:val="o"/>
      <w:lvlJc w:val="left"/>
      <w:pPr>
        <w:ind w:left="4904" w:hanging="360"/>
      </w:pPr>
      <w:rPr>
        <w:rFonts w:ascii="Courier New" w:hAnsi="Courier New" w:cs="Courier New" w:hint="default"/>
      </w:rPr>
    </w:lvl>
    <w:lvl w:ilvl="5" w:tplc="040B0005">
      <w:start w:val="1"/>
      <w:numFmt w:val="bullet"/>
      <w:lvlText w:val=""/>
      <w:lvlJc w:val="left"/>
      <w:pPr>
        <w:ind w:left="5624" w:hanging="360"/>
      </w:pPr>
      <w:rPr>
        <w:rFonts w:ascii="Wingdings" w:hAnsi="Wingdings" w:hint="default"/>
      </w:rPr>
    </w:lvl>
    <w:lvl w:ilvl="6" w:tplc="040B0001">
      <w:start w:val="1"/>
      <w:numFmt w:val="bullet"/>
      <w:lvlText w:val=""/>
      <w:lvlJc w:val="left"/>
      <w:pPr>
        <w:ind w:left="6344" w:hanging="360"/>
      </w:pPr>
      <w:rPr>
        <w:rFonts w:ascii="Symbol" w:hAnsi="Symbol" w:hint="default"/>
      </w:rPr>
    </w:lvl>
    <w:lvl w:ilvl="7" w:tplc="040B0003">
      <w:start w:val="1"/>
      <w:numFmt w:val="bullet"/>
      <w:lvlText w:val="o"/>
      <w:lvlJc w:val="left"/>
      <w:pPr>
        <w:ind w:left="7064" w:hanging="360"/>
      </w:pPr>
      <w:rPr>
        <w:rFonts w:ascii="Courier New" w:hAnsi="Courier New" w:cs="Courier New" w:hint="default"/>
      </w:rPr>
    </w:lvl>
    <w:lvl w:ilvl="8" w:tplc="040B0005">
      <w:start w:val="1"/>
      <w:numFmt w:val="bullet"/>
      <w:lvlText w:val=""/>
      <w:lvlJc w:val="left"/>
      <w:pPr>
        <w:ind w:left="7784"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B47745"/>
    <w:multiLevelType w:val="hybridMultilevel"/>
    <w:tmpl w:val="CD2CAE2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2522A17"/>
    <w:multiLevelType w:val="hybridMultilevel"/>
    <w:tmpl w:val="1E10B0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2FC2795"/>
    <w:multiLevelType w:val="hybridMultilevel"/>
    <w:tmpl w:val="7FC8799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5D43353"/>
    <w:multiLevelType w:val="hybridMultilevel"/>
    <w:tmpl w:val="63CA9F3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6E53057"/>
    <w:multiLevelType w:val="hybridMultilevel"/>
    <w:tmpl w:val="90F46A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B6303BE"/>
    <w:multiLevelType w:val="hybridMultilevel"/>
    <w:tmpl w:val="9BEEA5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2AF6F51"/>
    <w:multiLevelType w:val="hybridMultilevel"/>
    <w:tmpl w:val="AC1A16C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60F7E82"/>
    <w:multiLevelType w:val="hybridMultilevel"/>
    <w:tmpl w:val="22F0953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9"/>
  </w:num>
  <w:num w:numId="6">
    <w:abstractNumId w:val="16"/>
  </w:num>
  <w:num w:numId="7">
    <w:abstractNumId w:val="22"/>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3"/>
  </w:num>
  <w:num w:numId="17">
    <w:abstractNumId w:val="6"/>
  </w:num>
  <w:num w:numId="18">
    <w:abstractNumId w:val="7"/>
  </w:num>
  <w:num w:numId="19">
    <w:abstractNumId w:val="5"/>
  </w:num>
  <w:num w:numId="20">
    <w:abstractNumId w:val="31"/>
  </w:num>
  <w:num w:numId="21">
    <w:abstractNumId w:val="11"/>
  </w:num>
  <w:num w:numId="22">
    <w:abstractNumId w:val="29"/>
  </w:num>
  <w:num w:numId="23">
    <w:abstractNumId w:val="30"/>
  </w:num>
  <w:num w:numId="24">
    <w:abstractNumId w:val="27"/>
  </w:num>
  <w:num w:numId="25">
    <w:abstractNumId w:val="26"/>
  </w:num>
  <w:num w:numId="26">
    <w:abstractNumId w:val="25"/>
  </w:num>
  <w:num w:numId="27">
    <w:abstractNumId w:val="13"/>
  </w:num>
  <w:num w:numId="28">
    <w:abstractNumId w:val="24"/>
  </w:num>
  <w:num w:numId="29">
    <w:abstractNumId w:val="12"/>
  </w:num>
  <w:num w:numId="30">
    <w:abstractNumId w:val="32"/>
  </w:num>
  <w:num w:numId="31">
    <w:abstractNumId w:val="1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28"/>
  </w:num>
  <w:num w:numId="35">
    <w:abstractNumId w:val="17"/>
  </w:num>
  <w:num w:numId="3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6E1"/>
    <w:rsid w:val="00002A37"/>
    <w:rsid w:val="0000564C"/>
    <w:rsid w:val="00006446"/>
    <w:rsid w:val="00006896"/>
    <w:rsid w:val="00007CDC"/>
    <w:rsid w:val="00011B28"/>
    <w:rsid w:val="00015D15"/>
    <w:rsid w:val="000251A2"/>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1D37"/>
    <w:rsid w:val="00083099"/>
    <w:rsid w:val="00083914"/>
    <w:rsid w:val="000855EB"/>
    <w:rsid w:val="00085B52"/>
    <w:rsid w:val="000866F2"/>
    <w:rsid w:val="0009009F"/>
    <w:rsid w:val="00091557"/>
    <w:rsid w:val="000924C1"/>
    <w:rsid w:val="000924F0"/>
    <w:rsid w:val="00093474"/>
    <w:rsid w:val="0009510F"/>
    <w:rsid w:val="000A0FF2"/>
    <w:rsid w:val="000A1B7B"/>
    <w:rsid w:val="000A56F2"/>
    <w:rsid w:val="000B2719"/>
    <w:rsid w:val="000B3A8F"/>
    <w:rsid w:val="000B4AB9"/>
    <w:rsid w:val="000B58C3"/>
    <w:rsid w:val="000B61E9"/>
    <w:rsid w:val="000C165A"/>
    <w:rsid w:val="000C2E19"/>
    <w:rsid w:val="000D0D07"/>
    <w:rsid w:val="000D4797"/>
    <w:rsid w:val="000D70D7"/>
    <w:rsid w:val="000E0527"/>
    <w:rsid w:val="000E1E92"/>
    <w:rsid w:val="000F06D6"/>
    <w:rsid w:val="000F0EB1"/>
    <w:rsid w:val="000F1106"/>
    <w:rsid w:val="000F3BE9"/>
    <w:rsid w:val="000F3F6C"/>
    <w:rsid w:val="000F6DF3"/>
    <w:rsid w:val="001005FF"/>
    <w:rsid w:val="00102E04"/>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68FB"/>
    <w:rsid w:val="00137AB5"/>
    <w:rsid w:val="00137F0B"/>
    <w:rsid w:val="00151E23"/>
    <w:rsid w:val="001526E0"/>
    <w:rsid w:val="001551B5"/>
    <w:rsid w:val="001659C1"/>
    <w:rsid w:val="00173A8E"/>
    <w:rsid w:val="0017502C"/>
    <w:rsid w:val="0018143F"/>
    <w:rsid w:val="00181FF8"/>
    <w:rsid w:val="00190AC1"/>
    <w:rsid w:val="0019341A"/>
    <w:rsid w:val="0019403A"/>
    <w:rsid w:val="00197DF9"/>
    <w:rsid w:val="001A1987"/>
    <w:rsid w:val="001A2564"/>
    <w:rsid w:val="001A6173"/>
    <w:rsid w:val="001A6CBA"/>
    <w:rsid w:val="001B0D97"/>
    <w:rsid w:val="001B5A5D"/>
    <w:rsid w:val="001C1CE5"/>
    <w:rsid w:val="001C3D2A"/>
    <w:rsid w:val="001D51BA"/>
    <w:rsid w:val="001D53E7"/>
    <w:rsid w:val="001D6342"/>
    <w:rsid w:val="001D6D53"/>
    <w:rsid w:val="001E271D"/>
    <w:rsid w:val="001E58E2"/>
    <w:rsid w:val="001E7AED"/>
    <w:rsid w:val="001F0DFF"/>
    <w:rsid w:val="001F3916"/>
    <w:rsid w:val="001F54C5"/>
    <w:rsid w:val="001F662C"/>
    <w:rsid w:val="001F7074"/>
    <w:rsid w:val="00200490"/>
    <w:rsid w:val="00201F3A"/>
    <w:rsid w:val="00203F96"/>
    <w:rsid w:val="002069B2"/>
    <w:rsid w:val="0020754D"/>
    <w:rsid w:val="00207FA3"/>
    <w:rsid w:val="00214DA8"/>
    <w:rsid w:val="00215423"/>
    <w:rsid w:val="002158FA"/>
    <w:rsid w:val="00220600"/>
    <w:rsid w:val="002224DB"/>
    <w:rsid w:val="00223FCB"/>
    <w:rsid w:val="002252C3"/>
    <w:rsid w:val="00225C54"/>
    <w:rsid w:val="002303BA"/>
    <w:rsid w:val="00230765"/>
    <w:rsid w:val="00230D18"/>
    <w:rsid w:val="002319E4"/>
    <w:rsid w:val="00235632"/>
    <w:rsid w:val="00235872"/>
    <w:rsid w:val="00241559"/>
    <w:rsid w:val="002424D9"/>
    <w:rsid w:val="002435B3"/>
    <w:rsid w:val="00243D51"/>
    <w:rsid w:val="002458EB"/>
    <w:rsid w:val="002500C8"/>
    <w:rsid w:val="00257543"/>
    <w:rsid w:val="002617E7"/>
    <w:rsid w:val="00263764"/>
    <w:rsid w:val="00264228"/>
    <w:rsid w:val="00264334"/>
    <w:rsid w:val="0026473E"/>
    <w:rsid w:val="00266214"/>
    <w:rsid w:val="00267C83"/>
    <w:rsid w:val="002708F8"/>
    <w:rsid w:val="0027144F"/>
    <w:rsid w:val="00271813"/>
    <w:rsid w:val="00271F3A"/>
    <w:rsid w:val="00273278"/>
    <w:rsid w:val="002733E9"/>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7CAC"/>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354A"/>
    <w:rsid w:val="00346DB5"/>
    <w:rsid w:val="003477B1"/>
    <w:rsid w:val="00352980"/>
    <w:rsid w:val="00357380"/>
    <w:rsid w:val="003602D9"/>
    <w:rsid w:val="003604CE"/>
    <w:rsid w:val="00370E47"/>
    <w:rsid w:val="003742AC"/>
    <w:rsid w:val="00377CE1"/>
    <w:rsid w:val="00385BF0"/>
    <w:rsid w:val="003939FF"/>
    <w:rsid w:val="003A2223"/>
    <w:rsid w:val="003A2A0F"/>
    <w:rsid w:val="003A36C4"/>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3CDD"/>
    <w:rsid w:val="003D5804"/>
    <w:rsid w:val="003D5B1F"/>
    <w:rsid w:val="003E15FA"/>
    <w:rsid w:val="003E55E4"/>
    <w:rsid w:val="003E59BC"/>
    <w:rsid w:val="003E74E3"/>
    <w:rsid w:val="003F05C7"/>
    <w:rsid w:val="003F2CD4"/>
    <w:rsid w:val="003F6BBE"/>
    <w:rsid w:val="004000E8"/>
    <w:rsid w:val="004025A5"/>
    <w:rsid w:val="00402E2B"/>
    <w:rsid w:val="0040512B"/>
    <w:rsid w:val="00405CA5"/>
    <w:rsid w:val="00407228"/>
    <w:rsid w:val="00407CD3"/>
    <w:rsid w:val="00410134"/>
    <w:rsid w:val="00410B72"/>
    <w:rsid w:val="00410F18"/>
    <w:rsid w:val="004113C5"/>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86A5A"/>
    <w:rsid w:val="00491823"/>
    <w:rsid w:val="00491E24"/>
    <w:rsid w:val="00492BC5"/>
    <w:rsid w:val="004964F1"/>
    <w:rsid w:val="004A16BC"/>
    <w:rsid w:val="004A2B94"/>
    <w:rsid w:val="004B6F6A"/>
    <w:rsid w:val="004B7C0C"/>
    <w:rsid w:val="004C3898"/>
    <w:rsid w:val="004D36B1"/>
    <w:rsid w:val="004D53FB"/>
    <w:rsid w:val="004D7EBD"/>
    <w:rsid w:val="004E2680"/>
    <w:rsid w:val="004E28F9"/>
    <w:rsid w:val="004E462E"/>
    <w:rsid w:val="004E4F14"/>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0301"/>
    <w:rsid w:val="00546970"/>
    <w:rsid w:val="00554E19"/>
    <w:rsid w:val="0056121F"/>
    <w:rsid w:val="00572505"/>
    <w:rsid w:val="00582809"/>
    <w:rsid w:val="00585395"/>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0E4D"/>
    <w:rsid w:val="0060283C"/>
    <w:rsid w:val="00604E43"/>
    <w:rsid w:val="00604F14"/>
    <w:rsid w:val="006064E6"/>
    <w:rsid w:val="00606618"/>
    <w:rsid w:val="00611B83"/>
    <w:rsid w:val="00613257"/>
    <w:rsid w:val="00620A71"/>
    <w:rsid w:val="00620D80"/>
    <w:rsid w:val="00621CCF"/>
    <w:rsid w:val="006234A6"/>
    <w:rsid w:val="006261F8"/>
    <w:rsid w:val="00630001"/>
    <w:rsid w:val="006311B3"/>
    <w:rsid w:val="0063284C"/>
    <w:rsid w:val="00636398"/>
    <w:rsid w:val="006368D3"/>
    <w:rsid w:val="006377EC"/>
    <w:rsid w:val="0064151F"/>
    <w:rsid w:val="00641533"/>
    <w:rsid w:val="0064208D"/>
    <w:rsid w:val="00642E93"/>
    <w:rsid w:val="00643475"/>
    <w:rsid w:val="0064396A"/>
    <w:rsid w:val="0064624E"/>
    <w:rsid w:val="00646EFA"/>
    <w:rsid w:val="00650AB9"/>
    <w:rsid w:val="00655733"/>
    <w:rsid w:val="00655ACD"/>
    <w:rsid w:val="00656A92"/>
    <w:rsid w:val="00656DDE"/>
    <w:rsid w:val="0066011D"/>
    <w:rsid w:val="006607C0"/>
    <w:rsid w:val="006613A6"/>
    <w:rsid w:val="006627A2"/>
    <w:rsid w:val="00662843"/>
    <w:rsid w:val="006634E6"/>
    <w:rsid w:val="00663A39"/>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A5B"/>
    <w:rsid w:val="006A46FB"/>
    <w:rsid w:val="006A5E28"/>
    <w:rsid w:val="006A697B"/>
    <w:rsid w:val="006A7AFF"/>
    <w:rsid w:val="006B1816"/>
    <w:rsid w:val="006B2099"/>
    <w:rsid w:val="006B50CF"/>
    <w:rsid w:val="006C03B8"/>
    <w:rsid w:val="006C5EC9"/>
    <w:rsid w:val="006C6059"/>
    <w:rsid w:val="006C7522"/>
    <w:rsid w:val="006D6F08"/>
    <w:rsid w:val="006D76A3"/>
    <w:rsid w:val="006E062C"/>
    <w:rsid w:val="006E1C82"/>
    <w:rsid w:val="006E28B7"/>
    <w:rsid w:val="006E2A9B"/>
    <w:rsid w:val="006E3310"/>
    <w:rsid w:val="006E4E39"/>
    <w:rsid w:val="006E565E"/>
    <w:rsid w:val="006E673D"/>
    <w:rsid w:val="006E7D3B"/>
    <w:rsid w:val="006F1B70"/>
    <w:rsid w:val="006F341D"/>
    <w:rsid w:val="006F3CDE"/>
    <w:rsid w:val="006F58D4"/>
    <w:rsid w:val="006F5DB6"/>
    <w:rsid w:val="006F6582"/>
    <w:rsid w:val="007027A2"/>
    <w:rsid w:val="0070346E"/>
    <w:rsid w:val="00704EDB"/>
    <w:rsid w:val="00706101"/>
    <w:rsid w:val="00707072"/>
    <w:rsid w:val="00707D61"/>
    <w:rsid w:val="00712287"/>
    <w:rsid w:val="00712772"/>
    <w:rsid w:val="007136E1"/>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4293"/>
    <w:rsid w:val="007755F2"/>
    <w:rsid w:val="00776971"/>
    <w:rsid w:val="00776D36"/>
    <w:rsid w:val="00780A80"/>
    <w:rsid w:val="0078177E"/>
    <w:rsid w:val="0078304C"/>
    <w:rsid w:val="00783673"/>
    <w:rsid w:val="00784B97"/>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351"/>
    <w:rsid w:val="007D7526"/>
    <w:rsid w:val="007E4610"/>
    <w:rsid w:val="007E4715"/>
    <w:rsid w:val="007E505B"/>
    <w:rsid w:val="007E7091"/>
    <w:rsid w:val="00803FAE"/>
    <w:rsid w:val="0080605F"/>
    <w:rsid w:val="00806EB0"/>
    <w:rsid w:val="00807786"/>
    <w:rsid w:val="00811FCB"/>
    <w:rsid w:val="008158D6"/>
    <w:rsid w:val="00817196"/>
    <w:rsid w:val="0082140C"/>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A7812"/>
    <w:rsid w:val="008B0218"/>
    <w:rsid w:val="008B0483"/>
    <w:rsid w:val="008B120C"/>
    <w:rsid w:val="008B17BA"/>
    <w:rsid w:val="008B3799"/>
    <w:rsid w:val="008B51A0"/>
    <w:rsid w:val="008B592A"/>
    <w:rsid w:val="008B7B5C"/>
    <w:rsid w:val="008C0C99"/>
    <w:rsid w:val="008C2017"/>
    <w:rsid w:val="008C4958"/>
    <w:rsid w:val="008C4BAA"/>
    <w:rsid w:val="008C6AE8"/>
    <w:rsid w:val="008C6FD2"/>
    <w:rsid w:val="008C7573"/>
    <w:rsid w:val="008D00A5"/>
    <w:rsid w:val="008D34F1"/>
    <w:rsid w:val="008D39D8"/>
    <w:rsid w:val="008D6D1A"/>
    <w:rsid w:val="008E065E"/>
    <w:rsid w:val="008E0927"/>
    <w:rsid w:val="008E1909"/>
    <w:rsid w:val="008E6CB4"/>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043D"/>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4FA4"/>
    <w:rsid w:val="009A5C0E"/>
    <w:rsid w:val="009A5CBA"/>
    <w:rsid w:val="009B1F30"/>
    <w:rsid w:val="009B25D1"/>
    <w:rsid w:val="009B3AC2"/>
    <w:rsid w:val="009B4DF4"/>
    <w:rsid w:val="009B564E"/>
    <w:rsid w:val="009B7E87"/>
    <w:rsid w:val="009C0169"/>
    <w:rsid w:val="009C403E"/>
    <w:rsid w:val="009D4FF0"/>
    <w:rsid w:val="009D703C"/>
    <w:rsid w:val="009D718F"/>
    <w:rsid w:val="009E068F"/>
    <w:rsid w:val="009E14E0"/>
    <w:rsid w:val="009E35DB"/>
    <w:rsid w:val="009E47A3"/>
    <w:rsid w:val="009E70AC"/>
    <w:rsid w:val="009F08F3"/>
    <w:rsid w:val="009F344F"/>
    <w:rsid w:val="00A031D8"/>
    <w:rsid w:val="00A048A8"/>
    <w:rsid w:val="00A04F49"/>
    <w:rsid w:val="00A13E54"/>
    <w:rsid w:val="00A17F63"/>
    <w:rsid w:val="00A21040"/>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4F00"/>
    <w:rsid w:val="00A761D4"/>
    <w:rsid w:val="00A77EC4"/>
    <w:rsid w:val="00A92879"/>
    <w:rsid w:val="00A9442A"/>
    <w:rsid w:val="00AA016F"/>
    <w:rsid w:val="00AA0299"/>
    <w:rsid w:val="00AA0854"/>
    <w:rsid w:val="00AA1ED6"/>
    <w:rsid w:val="00AA51D6"/>
    <w:rsid w:val="00AB0BC8"/>
    <w:rsid w:val="00AB11CA"/>
    <w:rsid w:val="00AB14D9"/>
    <w:rsid w:val="00AB1945"/>
    <w:rsid w:val="00AB4AB8"/>
    <w:rsid w:val="00AB655E"/>
    <w:rsid w:val="00AC007F"/>
    <w:rsid w:val="00AC0C2B"/>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2AA2"/>
    <w:rsid w:val="00B45A52"/>
    <w:rsid w:val="00B46175"/>
    <w:rsid w:val="00B46EC1"/>
    <w:rsid w:val="00B548B7"/>
    <w:rsid w:val="00B55E8B"/>
    <w:rsid w:val="00B63785"/>
    <w:rsid w:val="00B6555C"/>
    <w:rsid w:val="00B664C7"/>
    <w:rsid w:val="00B739F6"/>
    <w:rsid w:val="00B81A6C"/>
    <w:rsid w:val="00B85DE5"/>
    <w:rsid w:val="00B90F73"/>
    <w:rsid w:val="00B93B59"/>
    <w:rsid w:val="00B9406A"/>
    <w:rsid w:val="00BA2280"/>
    <w:rsid w:val="00BA2A08"/>
    <w:rsid w:val="00BA49ED"/>
    <w:rsid w:val="00BA56D2"/>
    <w:rsid w:val="00BA76E0"/>
    <w:rsid w:val="00BB2A25"/>
    <w:rsid w:val="00BB33D7"/>
    <w:rsid w:val="00BB51E9"/>
    <w:rsid w:val="00BC0FDC"/>
    <w:rsid w:val="00BC3053"/>
    <w:rsid w:val="00BC4D2E"/>
    <w:rsid w:val="00BC6914"/>
    <w:rsid w:val="00BD48AC"/>
    <w:rsid w:val="00BD5F1A"/>
    <w:rsid w:val="00BE1234"/>
    <w:rsid w:val="00BE2FA6"/>
    <w:rsid w:val="00BE333F"/>
    <w:rsid w:val="00BE7406"/>
    <w:rsid w:val="00BE7603"/>
    <w:rsid w:val="00BF0EEC"/>
    <w:rsid w:val="00BF3279"/>
    <w:rsid w:val="00BF74C7"/>
    <w:rsid w:val="00C015F1"/>
    <w:rsid w:val="00C01F33"/>
    <w:rsid w:val="00C02CC6"/>
    <w:rsid w:val="00C040F7"/>
    <w:rsid w:val="00C044AB"/>
    <w:rsid w:val="00C05706"/>
    <w:rsid w:val="00C059A8"/>
    <w:rsid w:val="00C07377"/>
    <w:rsid w:val="00C10478"/>
    <w:rsid w:val="00C12107"/>
    <w:rsid w:val="00C133F1"/>
    <w:rsid w:val="00C14D4B"/>
    <w:rsid w:val="00C154BB"/>
    <w:rsid w:val="00C279B5"/>
    <w:rsid w:val="00C27C45"/>
    <w:rsid w:val="00C3719D"/>
    <w:rsid w:val="00C37CB2"/>
    <w:rsid w:val="00C473A5"/>
    <w:rsid w:val="00C476EC"/>
    <w:rsid w:val="00C54995"/>
    <w:rsid w:val="00C54D41"/>
    <w:rsid w:val="00C60783"/>
    <w:rsid w:val="00C64672"/>
    <w:rsid w:val="00C70697"/>
    <w:rsid w:val="00C715E9"/>
    <w:rsid w:val="00C72093"/>
    <w:rsid w:val="00C72EF4"/>
    <w:rsid w:val="00C744FE"/>
    <w:rsid w:val="00C75D2F"/>
    <w:rsid w:val="00C767BE"/>
    <w:rsid w:val="00C76E3C"/>
    <w:rsid w:val="00C77F87"/>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6F17"/>
    <w:rsid w:val="00CC7B45"/>
    <w:rsid w:val="00CD0697"/>
    <w:rsid w:val="00CD1188"/>
    <w:rsid w:val="00CD2ED1"/>
    <w:rsid w:val="00CD337B"/>
    <w:rsid w:val="00CE0424"/>
    <w:rsid w:val="00CE0BAD"/>
    <w:rsid w:val="00CE7561"/>
    <w:rsid w:val="00CE7636"/>
    <w:rsid w:val="00CF1354"/>
    <w:rsid w:val="00CF3B1F"/>
    <w:rsid w:val="00CF3BF6"/>
    <w:rsid w:val="00CF625B"/>
    <w:rsid w:val="00CF687E"/>
    <w:rsid w:val="00D022C0"/>
    <w:rsid w:val="00D0349B"/>
    <w:rsid w:val="00D03697"/>
    <w:rsid w:val="00D10249"/>
    <w:rsid w:val="00D115C3"/>
    <w:rsid w:val="00D11897"/>
    <w:rsid w:val="00D12197"/>
    <w:rsid w:val="00D13135"/>
    <w:rsid w:val="00D13745"/>
    <w:rsid w:val="00D13E4E"/>
    <w:rsid w:val="00D239A7"/>
    <w:rsid w:val="00D23F47"/>
    <w:rsid w:val="00D35383"/>
    <w:rsid w:val="00D36E71"/>
    <w:rsid w:val="00D37D87"/>
    <w:rsid w:val="00D40B33"/>
    <w:rsid w:val="00D4318F"/>
    <w:rsid w:val="00D438BF"/>
    <w:rsid w:val="00D440F8"/>
    <w:rsid w:val="00D546FF"/>
    <w:rsid w:val="00D55AD5"/>
    <w:rsid w:val="00D576CA"/>
    <w:rsid w:val="00D61AF5"/>
    <w:rsid w:val="00D652B5"/>
    <w:rsid w:val="00D66155"/>
    <w:rsid w:val="00D663F0"/>
    <w:rsid w:val="00D708B0"/>
    <w:rsid w:val="00D77B1D"/>
    <w:rsid w:val="00D8021F"/>
    <w:rsid w:val="00D80383"/>
    <w:rsid w:val="00D803DC"/>
    <w:rsid w:val="00D82082"/>
    <w:rsid w:val="00D823C6"/>
    <w:rsid w:val="00D8327F"/>
    <w:rsid w:val="00D8352F"/>
    <w:rsid w:val="00D86CA3"/>
    <w:rsid w:val="00D871CE"/>
    <w:rsid w:val="00D9196D"/>
    <w:rsid w:val="00D92982"/>
    <w:rsid w:val="00D9425F"/>
    <w:rsid w:val="00DA0514"/>
    <w:rsid w:val="00DA305E"/>
    <w:rsid w:val="00DA5417"/>
    <w:rsid w:val="00DA56E8"/>
    <w:rsid w:val="00DB0A9F"/>
    <w:rsid w:val="00DB1B34"/>
    <w:rsid w:val="00DB377D"/>
    <w:rsid w:val="00DB5497"/>
    <w:rsid w:val="00DC2D36"/>
    <w:rsid w:val="00DC331C"/>
    <w:rsid w:val="00DC53EF"/>
    <w:rsid w:val="00DE5608"/>
    <w:rsid w:val="00DE58D0"/>
    <w:rsid w:val="00DE654F"/>
    <w:rsid w:val="00DF0B6E"/>
    <w:rsid w:val="00DF15E0"/>
    <w:rsid w:val="00DF37A0"/>
    <w:rsid w:val="00E04241"/>
    <w:rsid w:val="00E04D94"/>
    <w:rsid w:val="00E110E7"/>
    <w:rsid w:val="00E11B20"/>
    <w:rsid w:val="00E17FA2"/>
    <w:rsid w:val="00E22330"/>
    <w:rsid w:val="00E279B2"/>
    <w:rsid w:val="00E30B5A"/>
    <w:rsid w:val="00E3123D"/>
    <w:rsid w:val="00E31461"/>
    <w:rsid w:val="00E31D43"/>
    <w:rsid w:val="00E32608"/>
    <w:rsid w:val="00E34188"/>
    <w:rsid w:val="00E34B6E"/>
    <w:rsid w:val="00E35559"/>
    <w:rsid w:val="00E3723A"/>
    <w:rsid w:val="00E37860"/>
    <w:rsid w:val="00E43F9F"/>
    <w:rsid w:val="00E446F1"/>
    <w:rsid w:val="00E46886"/>
    <w:rsid w:val="00E47236"/>
    <w:rsid w:val="00E47AEF"/>
    <w:rsid w:val="00E53B75"/>
    <w:rsid w:val="00E54E3B"/>
    <w:rsid w:val="00E54E77"/>
    <w:rsid w:val="00E5695A"/>
    <w:rsid w:val="00E57565"/>
    <w:rsid w:val="00E62336"/>
    <w:rsid w:val="00E63838"/>
    <w:rsid w:val="00E64434"/>
    <w:rsid w:val="00E67C51"/>
    <w:rsid w:val="00E71BD5"/>
    <w:rsid w:val="00E72EFC"/>
    <w:rsid w:val="00E73B90"/>
    <w:rsid w:val="00E758EC"/>
    <w:rsid w:val="00E8234C"/>
    <w:rsid w:val="00E82B0C"/>
    <w:rsid w:val="00E83AA9"/>
    <w:rsid w:val="00E85928"/>
    <w:rsid w:val="00E87822"/>
    <w:rsid w:val="00E90395"/>
    <w:rsid w:val="00E90E49"/>
    <w:rsid w:val="00E917F9"/>
    <w:rsid w:val="00E91DC2"/>
    <w:rsid w:val="00E9291C"/>
    <w:rsid w:val="00E93FFE"/>
    <w:rsid w:val="00E94550"/>
    <w:rsid w:val="00E94F8A"/>
    <w:rsid w:val="00EA7A41"/>
    <w:rsid w:val="00EB077B"/>
    <w:rsid w:val="00EB4EA2"/>
    <w:rsid w:val="00EC24D5"/>
    <w:rsid w:val="00EC27C6"/>
    <w:rsid w:val="00EC4207"/>
    <w:rsid w:val="00EC5653"/>
    <w:rsid w:val="00EC71CE"/>
    <w:rsid w:val="00ED1006"/>
    <w:rsid w:val="00EE119B"/>
    <w:rsid w:val="00EE1ED9"/>
    <w:rsid w:val="00EE5E45"/>
    <w:rsid w:val="00EF18FE"/>
    <w:rsid w:val="00EF5787"/>
    <w:rsid w:val="00EF60D0"/>
    <w:rsid w:val="00F0364F"/>
    <w:rsid w:val="00F0528D"/>
    <w:rsid w:val="00F05DFA"/>
    <w:rsid w:val="00F06C67"/>
    <w:rsid w:val="00F06DFD"/>
    <w:rsid w:val="00F071D1"/>
    <w:rsid w:val="00F07533"/>
    <w:rsid w:val="00F10629"/>
    <w:rsid w:val="00F15FA5"/>
    <w:rsid w:val="00F209B7"/>
    <w:rsid w:val="00F2376F"/>
    <w:rsid w:val="00F243D8"/>
    <w:rsid w:val="00F30828"/>
    <w:rsid w:val="00F313D6"/>
    <w:rsid w:val="00F40F0C"/>
    <w:rsid w:val="00F42EAF"/>
    <w:rsid w:val="00F4766C"/>
    <w:rsid w:val="00F47DDB"/>
    <w:rsid w:val="00F5060E"/>
    <w:rsid w:val="00F507D1"/>
    <w:rsid w:val="00F519CE"/>
    <w:rsid w:val="00F51ADA"/>
    <w:rsid w:val="00F60203"/>
    <w:rsid w:val="00F607C5"/>
    <w:rsid w:val="00F60DEA"/>
    <w:rsid w:val="00F6302A"/>
    <w:rsid w:val="00F63950"/>
    <w:rsid w:val="00F64C2B"/>
    <w:rsid w:val="00F651BE"/>
    <w:rsid w:val="00F67DFD"/>
    <w:rsid w:val="00F67F53"/>
    <w:rsid w:val="00F703BE"/>
    <w:rsid w:val="00F71F69"/>
    <w:rsid w:val="00F72B72"/>
    <w:rsid w:val="00F730BB"/>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453"/>
    <w:rsid w:val="00FD07F6"/>
    <w:rsid w:val="00FD1EC8"/>
    <w:rsid w:val="00FD47ED"/>
    <w:rsid w:val="00FD74DB"/>
    <w:rsid w:val="00FD7660"/>
    <w:rsid w:val="00FE0655"/>
    <w:rsid w:val="00FE2365"/>
    <w:rsid w:val="00FE37D7"/>
    <w:rsid w:val="00FE4C7B"/>
    <w:rsid w:val="00FE7336"/>
    <w:rsid w:val="00FE787C"/>
    <w:rsid w:val="00FF3CB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00D4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FD045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309407">
      <w:bodyDiv w:val="1"/>
      <w:marLeft w:val="0"/>
      <w:marRight w:val="0"/>
      <w:marTop w:val="0"/>
      <w:marBottom w:val="0"/>
      <w:divBdr>
        <w:top w:val="none" w:sz="0" w:space="0" w:color="auto"/>
        <w:left w:val="none" w:sz="0" w:space="0" w:color="auto"/>
        <w:bottom w:val="none" w:sz="0" w:space="0" w:color="auto"/>
        <w:right w:val="none" w:sz="0" w:space="0" w:color="auto"/>
      </w:divBdr>
    </w:div>
    <w:div w:id="1059789712">
      <w:bodyDiv w:val="1"/>
      <w:marLeft w:val="0"/>
      <w:marRight w:val="0"/>
      <w:marTop w:val="0"/>
      <w:marBottom w:val="0"/>
      <w:divBdr>
        <w:top w:val="none" w:sz="0" w:space="0" w:color="auto"/>
        <w:left w:val="none" w:sz="0" w:space="0" w:color="auto"/>
        <w:bottom w:val="none" w:sz="0" w:space="0" w:color="auto"/>
        <w:right w:val="none" w:sz="0" w:space="0" w:color="auto"/>
      </w:divBdr>
    </w:div>
    <w:div w:id="1411736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ieudo\Desktop\RAN1-100\R1-xxxxxx%2520Contribution%25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cc7603ed-7603-4824-9004-1c5aaeadf2ab" xsi:nil="true"/>
    <NH xmlns="cc7603ed-7603-4824-9004-1c5aaeadf2ab" xsi:nil="true"/>
    <_x65f6__x95f4_ xmlns="cc7603ed-7603-4824-9004-1c5aaeadf2ab" xsi:nil="true"/>
    <Description xmlns="cc7603ed-7603-4824-9004-1c5aaeadf2a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6" ma:contentTypeDescription="Create a new document." ma:contentTypeScope="" ma:versionID="e87d85d63b97ab10f3823e0cea3eb735">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72e91546b08ca24950d1609ee8cdba36"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element ref="ns3:Descrip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escription" ma:index="21" nillable="true" ma:displayName="Description" ma:format="Dropdown" ma:internalName="Description">
      <xsd:simpleType>
        <xsd:restriction base="dms:Text">
          <xsd:maxLength value="255"/>
        </xsd:restriction>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cc7603ed-7603-4824-9004-1c5aaeadf2ab"/>
  </ds:schemaRefs>
</ds:datastoreItem>
</file>

<file path=customXml/itemProps3.xml><?xml version="1.0" encoding="utf-8"?>
<ds:datastoreItem xmlns:ds="http://schemas.openxmlformats.org/officeDocument/2006/customXml" ds:itemID="{CF124C45-FF22-4B2F-A101-4E7567696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2D41EF-44F7-2B45-B35B-692D36A0C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C:\Users\ehieudo\Desktop\RAN1-100\R1-xxxxxx%20Contribution%20Template.dotx</Template>
  <TotalTime>2637</TotalTime>
  <Pages>8</Pages>
  <Words>3282</Words>
  <Characters>15495</Characters>
  <Application>Microsoft Office Word</Application>
  <DocSecurity>0</DocSecurity>
  <Lines>430</Lines>
  <Paragraphs>341</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18436</CharactersWithSpaces>
  <SharedDoc>false</SharedDoc>
  <HLinks>
    <vt:vector size="114" baseType="variant">
      <vt:variant>
        <vt:i4>1245237</vt:i4>
      </vt:variant>
      <vt:variant>
        <vt:i4>65</vt:i4>
      </vt:variant>
      <vt:variant>
        <vt:i4>0</vt:i4>
      </vt:variant>
      <vt:variant>
        <vt:i4>5</vt:i4>
      </vt:variant>
      <vt:variant>
        <vt:lpwstr/>
      </vt:variant>
      <vt:variant>
        <vt:lpwstr>_Toc32527145</vt:lpwstr>
      </vt:variant>
      <vt:variant>
        <vt:i4>1179701</vt:i4>
      </vt:variant>
      <vt:variant>
        <vt:i4>62</vt:i4>
      </vt:variant>
      <vt:variant>
        <vt:i4>0</vt:i4>
      </vt:variant>
      <vt:variant>
        <vt:i4>5</vt:i4>
      </vt:variant>
      <vt:variant>
        <vt:lpwstr/>
      </vt:variant>
      <vt:variant>
        <vt:lpwstr>_Toc32527144</vt:lpwstr>
      </vt:variant>
      <vt:variant>
        <vt:i4>1376309</vt:i4>
      </vt:variant>
      <vt:variant>
        <vt:i4>59</vt:i4>
      </vt:variant>
      <vt:variant>
        <vt:i4>0</vt:i4>
      </vt:variant>
      <vt:variant>
        <vt:i4>5</vt:i4>
      </vt:variant>
      <vt:variant>
        <vt:lpwstr/>
      </vt:variant>
      <vt:variant>
        <vt:lpwstr>_Toc32527143</vt:lpwstr>
      </vt:variant>
      <vt:variant>
        <vt:i4>1310773</vt:i4>
      </vt:variant>
      <vt:variant>
        <vt:i4>56</vt:i4>
      </vt:variant>
      <vt:variant>
        <vt:i4>0</vt:i4>
      </vt:variant>
      <vt:variant>
        <vt:i4>5</vt:i4>
      </vt:variant>
      <vt:variant>
        <vt:lpwstr/>
      </vt:variant>
      <vt:variant>
        <vt:lpwstr>_Toc32527142</vt:lpwstr>
      </vt:variant>
      <vt:variant>
        <vt:i4>1507381</vt:i4>
      </vt:variant>
      <vt:variant>
        <vt:i4>53</vt:i4>
      </vt:variant>
      <vt:variant>
        <vt:i4>0</vt:i4>
      </vt:variant>
      <vt:variant>
        <vt:i4>5</vt:i4>
      </vt:variant>
      <vt:variant>
        <vt:lpwstr/>
      </vt:variant>
      <vt:variant>
        <vt:lpwstr>_Toc32527141</vt:lpwstr>
      </vt:variant>
      <vt:variant>
        <vt:i4>1441845</vt:i4>
      </vt:variant>
      <vt:variant>
        <vt:i4>50</vt:i4>
      </vt:variant>
      <vt:variant>
        <vt:i4>0</vt:i4>
      </vt:variant>
      <vt:variant>
        <vt:i4>5</vt:i4>
      </vt:variant>
      <vt:variant>
        <vt:lpwstr/>
      </vt:variant>
      <vt:variant>
        <vt:lpwstr>_Toc32527140</vt:lpwstr>
      </vt:variant>
      <vt:variant>
        <vt:i4>2031666</vt:i4>
      </vt:variant>
      <vt:variant>
        <vt:i4>47</vt:i4>
      </vt:variant>
      <vt:variant>
        <vt:i4>0</vt:i4>
      </vt:variant>
      <vt:variant>
        <vt:i4>5</vt:i4>
      </vt:variant>
      <vt:variant>
        <vt:lpwstr/>
      </vt:variant>
      <vt:variant>
        <vt:lpwstr>_Toc32527139</vt:lpwstr>
      </vt:variant>
      <vt:variant>
        <vt:i4>1966130</vt:i4>
      </vt:variant>
      <vt:variant>
        <vt:i4>44</vt:i4>
      </vt:variant>
      <vt:variant>
        <vt:i4>0</vt:i4>
      </vt:variant>
      <vt:variant>
        <vt:i4>5</vt:i4>
      </vt:variant>
      <vt:variant>
        <vt:lpwstr/>
      </vt:variant>
      <vt:variant>
        <vt:lpwstr>_Toc32527138</vt:lpwstr>
      </vt:variant>
      <vt:variant>
        <vt:i4>1114162</vt:i4>
      </vt:variant>
      <vt:variant>
        <vt:i4>41</vt:i4>
      </vt:variant>
      <vt:variant>
        <vt:i4>0</vt:i4>
      </vt:variant>
      <vt:variant>
        <vt:i4>5</vt:i4>
      </vt:variant>
      <vt:variant>
        <vt:lpwstr/>
      </vt:variant>
      <vt:variant>
        <vt:lpwstr>_Toc32527137</vt:lpwstr>
      </vt:variant>
      <vt:variant>
        <vt:i4>1048626</vt:i4>
      </vt:variant>
      <vt:variant>
        <vt:i4>38</vt:i4>
      </vt:variant>
      <vt:variant>
        <vt:i4>0</vt:i4>
      </vt:variant>
      <vt:variant>
        <vt:i4>5</vt:i4>
      </vt:variant>
      <vt:variant>
        <vt:lpwstr/>
      </vt:variant>
      <vt:variant>
        <vt:lpwstr>_Toc32527136</vt:lpwstr>
      </vt:variant>
      <vt:variant>
        <vt:i4>1245234</vt:i4>
      </vt:variant>
      <vt:variant>
        <vt:i4>35</vt:i4>
      </vt:variant>
      <vt:variant>
        <vt:i4>0</vt:i4>
      </vt:variant>
      <vt:variant>
        <vt:i4>5</vt:i4>
      </vt:variant>
      <vt:variant>
        <vt:lpwstr/>
      </vt:variant>
      <vt:variant>
        <vt:lpwstr>_Toc32527135</vt:lpwstr>
      </vt:variant>
      <vt:variant>
        <vt:i4>1179698</vt:i4>
      </vt:variant>
      <vt:variant>
        <vt:i4>32</vt:i4>
      </vt:variant>
      <vt:variant>
        <vt:i4>0</vt:i4>
      </vt:variant>
      <vt:variant>
        <vt:i4>5</vt:i4>
      </vt:variant>
      <vt:variant>
        <vt:lpwstr/>
      </vt:variant>
      <vt:variant>
        <vt:lpwstr>_Toc32527134</vt:lpwstr>
      </vt:variant>
      <vt:variant>
        <vt:i4>1376306</vt:i4>
      </vt:variant>
      <vt:variant>
        <vt:i4>29</vt:i4>
      </vt:variant>
      <vt:variant>
        <vt:i4>0</vt:i4>
      </vt:variant>
      <vt:variant>
        <vt:i4>5</vt:i4>
      </vt:variant>
      <vt:variant>
        <vt:lpwstr/>
      </vt:variant>
      <vt:variant>
        <vt:lpwstr>_Toc32527133</vt:lpwstr>
      </vt:variant>
      <vt:variant>
        <vt:i4>1310770</vt:i4>
      </vt:variant>
      <vt:variant>
        <vt:i4>26</vt:i4>
      </vt:variant>
      <vt:variant>
        <vt:i4>0</vt:i4>
      </vt:variant>
      <vt:variant>
        <vt:i4>5</vt:i4>
      </vt:variant>
      <vt:variant>
        <vt:lpwstr/>
      </vt:variant>
      <vt:variant>
        <vt:lpwstr>_Toc32527132</vt:lpwstr>
      </vt:variant>
      <vt:variant>
        <vt:i4>1507378</vt:i4>
      </vt:variant>
      <vt:variant>
        <vt:i4>23</vt:i4>
      </vt:variant>
      <vt:variant>
        <vt:i4>0</vt:i4>
      </vt:variant>
      <vt:variant>
        <vt:i4>5</vt:i4>
      </vt:variant>
      <vt:variant>
        <vt:lpwstr/>
      </vt:variant>
      <vt:variant>
        <vt:lpwstr>_Toc32527131</vt:lpwstr>
      </vt:variant>
      <vt:variant>
        <vt:i4>1441842</vt:i4>
      </vt:variant>
      <vt:variant>
        <vt:i4>20</vt:i4>
      </vt:variant>
      <vt:variant>
        <vt:i4>0</vt:i4>
      </vt:variant>
      <vt:variant>
        <vt:i4>5</vt:i4>
      </vt:variant>
      <vt:variant>
        <vt:lpwstr/>
      </vt:variant>
      <vt:variant>
        <vt:lpwstr>_Toc32527130</vt:lpwstr>
      </vt:variant>
      <vt:variant>
        <vt:i4>2031667</vt:i4>
      </vt:variant>
      <vt:variant>
        <vt:i4>17</vt:i4>
      </vt:variant>
      <vt:variant>
        <vt:i4>0</vt:i4>
      </vt:variant>
      <vt:variant>
        <vt:i4>5</vt:i4>
      </vt:variant>
      <vt:variant>
        <vt:lpwstr/>
      </vt:variant>
      <vt:variant>
        <vt:lpwstr>_Toc32527129</vt:lpwstr>
      </vt:variant>
      <vt:variant>
        <vt:i4>1966131</vt:i4>
      </vt:variant>
      <vt:variant>
        <vt:i4>14</vt:i4>
      </vt:variant>
      <vt:variant>
        <vt:i4>0</vt:i4>
      </vt:variant>
      <vt:variant>
        <vt:i4>5</vt:i4>
      </vt:variant>
      <vt:variant>
        <vt:lpwstr/>
      </vt:variant>
      <vt:variant>
        <vt:lpwstr>_Toc32527128</vt:lpwstr>
      </vt:variant>
      <vt:variant>
        <vt:i4>1114163</vt:i4>
      </vt:variant>
      <vt:variant>
        <vt:i4>11</vt:i4>
      </vt:variant>
      <vt:variant>
        <vt:i4>0</vt:i4>
      </vt:variant>
      <vt:variant>
        <vt:i4>5</vt:i4>
      </vt:variant>
      <vt:variant>
        <vt:lpwstr/>
      </vt:variant>
      <vt:variant>
        <vt:lpwstr>_Toc32527127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72</cp:revision>
  <cp:lastPrinted>2008-01-31T16:09:00Z</cp:lastPrinted>
  <dcterms:created xsi:type="dcterms:W3CDTF">2020-01-11T00:47:00Z</dcterms:created>
  <dcterms:modified xsi:type="dcterms:W3CDTF">2020-02-14T14:50:00Z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0x0101001ACB0BFAF4B3DB478B6E162A113003C9</vt:lpwstr>
  </property>
</Properties>
</file>